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9522" w14:textId="5985D12A" w:rsidR="00615BF5" w:rsidRDefault="002E2451" w:rsidP="002C5446">
      <w:pPr>
        <w:jc w:val="center"/>
        <w:rPr>
          <w:rFonts w:cstheme="minorHAnsi"/>
          <w:b/>
          <w:bCs/>
          <w:sz w:val="24"/>
          <w:szCs w:val="24"/>
        </w:rPr>
      </w:pPr>
      <w:r w:rsidRPr="002C5446">
        <w:rPr>
          <w:rFonts w:cstheme="minorHAnsi"/>
          <w:b/>
          <w:bCs/>
          <w:sz w:val="24"/>
          <w:szCs w:val="24"/>
        </w:rPr>
        <w:t>Editorial: Perspectives on safeguarding older people: Voice, Choice, and Control</w:t>
      </w:r>
    </w:p>
    <w:p w14:paraId="75267E4F" w14:textId="24D63F27" w:rsidR="00FA2ADC" w:rsidRDefault="00FA2ADC" w:rsidP="002C5446">
      <w:pPr>
        <w:jc w:val="center"/>
        <w:rPr>
          <w:rFonts w:cstheme="minorHAnsi"/>
          <w:b/>
          <w:bCs/>
          <w:sz w:val="24"/>
          <w:szCs w:val="24"/>
        </w:rPr>
      </w:pPr>
      <w:r>
        <w:rPr>
          <w:rFonts w:cstheme="minorHAnsi"/>
          <w:b/>
          <w:bCs/>
          <w:sz w:val="24"/>
          <w:szCs w:val="24"/>
        </w:rPr>
        <w:t>For special issue of the Journal of Adult Protection</w:t>
      </w:r>
    </w:p>
    <w:p w14:paraId="17DD14DB" w14:textId="77777777" w:rsidR="00A15305" w:rsidRPr="008D753E" w:rsidRDefault="00A15305" w:rsidP="00A15305">
      <w:pPr>
        <w:jc w:val="both"/>
        <w:rPr>
          <w:rFonts w:cstheme="minorHAnsi"/>
          <w:b/>
          <w:bCs/>
          <w:sz w:val="24"/>
          <w:szCs w:val="24"/>
        </w:rPr>
      </w:pPr>
      <w:r w:rsidRPr="008D753E">
        <w:rPr>
          <w:rFonts w:cstheme="minorHAnsi"/>
          <w:b/>
          <w:bCs/>
          <w:sz w:val="24"/>
          <w:szCs w:val="24"/>
        </w:rPr>
        <w:t>Authors:</w:t>
      </w:r>
    </w:p>
    <w:p w14:paraId="1775C5AA" w14:textId="77777777" w:rsidR="00A15305" w:rsidRPr="008D753E" w:rsidRDefault="00A15305" w:rsidP="00A15305">
      <w:pPr>
        <w:jc w:val="both"/>
        <w:rPr>
          <w:rFonts w:cstheme="minorHAnsi"/>
          <w:sz w:val="24"/>
          <w:szCs w:val="24"/>
        </w:rPr>
      </w:pPr>
      <w:proofErr w:type="spellStart"/>
      <w:r w:rsidRPr="008D753E">
        <w:rPr>
          <w:rFonts w:cstheme="minorHAnsi"/>
          <w:b/>
          <w:bCs/>
          <w:sz w:val="24"/>
          <w:szCs w:val="24"/>
        </w:rPr>
        <w:t>Dr.</w:t>
      </w:r>
      <w:proofErr w:type="spellEnd"/>
      <w:r w:rsidRPr="008D753E">
        <w:rPr>
          <w:rFonts w:cstheme="minorHAnsi"/>
          <w:b/>
          <w:bCs/>
          <w:sz w:val="24"/>
          <w:szCs w:val="24"/>
        </w:rPr>
        <w:t xml:space="preserve"> Sarah P. Lonbay </w:t>
      </w:r>
      <w:r w:rsidRPr="008D753E">
        <w:rPr>
          <w:rFonts w:cstheme="minorHAnsi"/>
          <w:sz w:val="24"/>
          <w:szCs w:val="24"/>
        </w:rPr>
        <w:t>(</w:t>
      </w:r>
      <w:hyperlink r:id="rId6" w:history="1">
        <w:r w:rsidRPr="008D753E">
          <w:rPr>
            <w:rStyle w:val="Hyperlink"/>
            <w:rFonts w:cstheme="minorHAnsi"/>
            <w:sz w:val="24"/>
            <w:szCs w:val="24"/>
          </w:rPr>
          <w:t>Sarah.Lonbay@sunderland.ac.uk/</w:t>
        </w:r>
      </w:hyperlink>
      <w:r w:rsidRPr="008D753E">
        <w:rPr>
          <w:rFonts w:cstheme="minorHAnsi"/>
          <w:sz w:val="24"/>
          <w:szCs w:val="24"/>
        </w:rPr>
        <w:t xml:space="preserve"> @SarahLonbay)</w:t>
      </w:r>
    </w:p>
    <w:p w14:paraId="1C2CD5C3" w14:textId="77777777" w:rsidR="00A15305" w:rsidRPr="008D753E" w:rsidRDefault="00A15305" w:rsidP="00A15305">
      <w:pPr>
        <w:jc w:val="both"/>
        <w:rPr>
          <w:rFonts w:cstheme="minorHAnsi"/>
          <w:sz w:val="24"/>
          <w:szCs w:val="24"/>
        </w:rPr>
      </w:pPr>
      <w:proofErr w:type="spellStart"/>
      <w:r w:rsidRPr="008D753E">
        <w:rPr>
          <w:rFonts w:cstheme="minorHAnsi"/>
          <w:sz w:val="24"/>
          <w:szCs w:val="24"/>
        </w:rPr>
        <w:t>ORCID</w:t>
      </w:r>
      <w:proofErr w:type="spellEnd"/>
      <w:r w:rsidRPr="008D753E">
        <w:rPr>
          <w:rFonts w:cstheme="minorHAnsi"/>
          <w:sz w:val="24"/>
          <w:szCs w:val="24"/>
        </w:rPr>
        <w:t>: 0000-0002-5122-9505</w:t>
      </w:r>
    </w:p>
    <w:p w14:paraId="7F116CDB" w14:textId="77777777" w:rsidR="00A15305" w:rsidRPr="008D753E" w:rsidRDefault="00A15305" w:rsidP="00A15305">
      <w:pPr>
        <w:jc w:val="both"/>
        <w:rPr>
          <w:rFonts w:cstheme="minorHAnsi"/>
          <w:sz w:val="24"/>
          <w:szCs w:val="24"/>
        </w:rPr>
      </w:pPr>
      <w:r w:rsidRPr="008D753E">
        <w:rPr>
          <w:rFonts w:cstheme="minorHAnsi"/>
          <w:sz w:val="24"/>
          <w:szCs w:val="24"/>
        </w:rPr>
        <w:t>Associate Professor of Social Sciences and Engagement in the Faculty of Education and Society, University of Sunderland</w:t>
      </w:r>
      <w:r w:rsidRPr="008D753E">
        <w:rPr>
          <w:rFonts w:cstheme="minorHAnsi"/>
          <w:i/>
          <w:iCs/>
          <w:sz w:val="24"/>
          <w:szCs w:val="24"/>
        </w:rPr>
        <w:t xml:space="preserve"> and</w:t>
      </w:r>
      <w:r w:rsidRPr="008D753E">
        <w:rPr>
          <w:rFonts w:cstheme="minorHAnsi"/>
          <w:sz w:val="24"/>
          <w:szCs w:val="24"/>
        </w:rPr>
        <w:t xml:space="preserve"> ARC Research Fellow for North East and Cumbria based in the Helen McArdle Nursing and Care Research Institute at the University of Sunderland.</w:t>
      </w:r>
    </w:p>
    <w:p w14:paraId="7EBA3283" w14:textId="77777777" w:rsidR="00A15305" w:rsidRPr="008D753E" w:rsidRDefault="00A15305" w:rsidP="00A15305">
      <w:pPr>
        <w:jc w:val="both"/>
        <w:rPr>
          <w:rFonts w:cstheme="minorHAnsi"/>
          <w:sz w:val="24"/>
          <w:szCs w:val="24"/>
        </w:rPr>
      </w:pPr>
      <w:proofErr w:type="spellStart"/>
      <w:r w:rsidRPr="008D753E">
        <w:rPr>
          <w:rFonts w:cstheme="minorHAnsi"/>
          <w:b/>
          <w:bCs/>
          <w:sz w:val="24"/>
          <w:szCs w:val="24"/>
        </w:rPr>
        <w:t>Dr.</w:t>
      </w:r>
      <w:proofErr w:type="spellEnd"/>
      <w:r w:rsidRPr="008D753E">
        <w:rPr>
          <w:rFonts w:cstheme="minorHAnsi"/>
          <w:b/>
          <w:bCs/>
          <w:sz w:val="24"/>
          <w:szCs w:val="24"/>
        </w:rPr>
        <w:t xml:space="preserve"> Kathryn McKay</w:t>
      </w:r>
      <w:r w:rsidRPr="008D753E">
        <w:rPr>
          <w:rFonts w:cstheme="minorHAnsi"/>
          <w:sz w:val="24"/>
          <w:szCs w:val="24"/>
        </w:rPr>
        <w:t xml:space="preserve"> (</w:t>
      </w:r>
      <w:hyperlink r:id="rId7" w:history="1">
        <w:r w:rsidRPr="008D753E">
          <w:rPr>
            <w:rStyle w:val="Hyperlink"/>
            <w:rFonts w:cstheme="minorHAnsi"/>
            <w:sz w:val="24"/>
            <w:szCs w:val="24"/>
          </w:rPr>
          <w:t>k.j.mackay@stir.ac.uk/</w:t>
        </w:r>
      </w:hyperlink>
      <w:r w:rsidRPr="008D753E">
        <w:rPr>
          <w:rFonts w:cstheme="minorHAnsi"/>
          <w:sz w:val="24"/>
          <w:szCs w:val="24"/>
        </w:rPr>
        <w:t xml:space="preserve"> @Kaspmackay)</w:t>
      </w:r>
    </w:p>
    <w:p w14:paraId="4830CB6B" w14:textId="77777777" w:rsidR="00A15305" w:rsidRPr="008D753E" w:rsidRDefault="00A15305" w:rsidP="00A15305">
      <w:pPr>
        <w:jc w:val="both"/>
        <w:rPr>
          <w:rFonts w:cstheme="minorHAnsi"/>
          <w:sz w:val="24"/>
          <w:szCs w:val="24"/>
        </w:rPr>
      </w:pPr>
      <w:proofErr w:type="spellStart"/>
      <w:r w:rsidRPr="008D753E">
        <w:rPr>
          <w:rFonts w:cstheme="minorHAnsi"/>
          <w:sz w:val="24"/>
          <w:szCs w:val="24"/>
        </w:rPr>
        <w:t>ORCID</w:t>
      </w:r>
      <w:proofErr w:type="spellEnd"/>
      <w:r w:rsidRPr="008D753E">
        <w:rPr>
          <w:rFonts w:cstheme="minorHAnsi"/>
          <w:sz w:val="24"/>
          <w:szCs w:val="24"/>
        </w:rPr>
        <w:t>: 0000-0002-2532-0022</w:t>
      </w:r>
    </w:p>
    <w:p w14:paraId="12F89D38" w14:textId="77777777" w:rsidR="00A15305" w:rsidRPr="008D753E" w:rsidRDefault="00A15305" w:rsidP="00A15305">
      <w:pPr>
        <w:jc w:val="both"/>
        <w:rPr>
          <w:rFonts w:cstheme="minorHAnsi"/>
          <w:sz w:val="24"/>
          <w:szCs w:val="24"/>
        </w:rPr>
      </w:pPr>
      <w:r w:rsidRPr="008D753E">
        <w:rPr>
          <w:rFonts w:cstheme="minorHAnsi"/>
          <w:sz w:val="24"/>
          <w:szCs w:val="24"/>
        </w:rPr>
        <w:t>Lecturer in Social Work at the University of Stirling.</w:t>
      </w:r>
    </w:p>
    <w:p w14:paraId="26B81156" w14:textId="77777777" w:rsidR="00A15305" w:rsidRPr="008D753E" w:rsidRDefault="00A15305" w:rsidP="00A15305">
      <w:pPr>
        <w:jc w:val="both"/>
        <w:rPr>
          <w:rFonts w:cstheme="minorHAnsi"/>
          <w:sz w:val="24"/>
          <w:szCs w:val="24"/>
        </w:rPr>
      </w:pPr>
      <w:proofErr w:type="spellStart"/>
      <w:r w:rsidRPr="008D753E">
        <w:rPr>
          <w:rFonts w:cstheme="minorHAnsi"/>
          <w:b/>
          <w:bCs/>
          <w:sz w:val="24"/>
          <w:szCs w:val="24"/>
        </w:rPr>
        <w:t>Dr.</w:t>
      </w:r>
      <w:proofErr w:type="spellEnd"/>
      <w:r w:rsidRPr="008D753E">
        <w:rPr>
          <w:rFonts w:cstheme="minorHAnsi"/>
          <w:b/>
          <w:bCs/>
          <w:sz w:val="24"/>
          <w:szCs w:val="24"/>
        </w:rPr>
        <w:t xml:space="preserve"> Lorna Montgomery</w:t>
      </w:r>
      <w:r w:rsidRPr="008D753E">
        <w:rPr>
          <w:rFonts w:cstheme="minorHAnsi"/>
          <w:sz w:val="24"/>
          <w:szCs w:val="24"/>
        </w:rPr>
        <w:t xml:space="preserve"> (</w:t>
      </w:r>
      <w:hyperlink r:id="rId8" w:history="1">
        <w:r w:rsidRPr="008D753E">
          <w:rPr>
            <w:rStyle w:val="Hyperlink"/>
            <w:rFonts w:cstheme="minorHAnsi"/>
            <w:color w:val="3967C1"/>
            <w:sz w:val="24"/>
            <w:szCs w:val="24"/>
            <w:shd w:val="clear" w:color="auto" w:fill="F7F8FA"/>
          </w:rPr>
          <w:t>l.montgomery</w:t>
        </w:r>
        <w:r w:rsidRPr="008D753E">
          <w:rPr>
            <w:rStyle w:val="email-ta"/>
            <w:rFonts w:cstheme="minorHAnsi"/>
            <w:color w:val="3967C1"/>
            <w:sz w:val="24"/>
            <w:szCs w:val="24"/>
            <w:u w:val="single"/>
            <w:shd w:val="clear" w:color="auto" w:fill="F7F8FA"/>
          </w:rPr>
          <w:t>@</w:t>
        </w:r>
        <w:r w:rsidRPr="008D753E">
          <w:rPr>
            <w:rStyle w:val="Hyperlink"/>
            <w:rFonts w:cstheme="minorHAnsi"/>
            <w:color w:val="3967C1"/>
            <w:sz w:val="24"/>
            <w:szCs w:val="24"/>
            <w:shd w:val="clear" w:color="auto" w:fill="F7F8FA"/>
          </w:rPr>
          <w:t>qub.ac</w:t>
        </w:r>
        <w:r w:rsidRPr="008D753E">
          <w:rPr>
            <w:rStyle w:val="email-tod"/>
            <w:rFonts w:cstheme="minorHAnsi"/>
            <w:color w:val="3967C1"/>
            <w:sz w:val="24"/>
            <w:szCs w:val="24"/>
            <w:u w:val="single"/>
            <w:shd w:val="clear" w:color="auto" w:fill="F7F8FA"/>
          </w:rPr>
          <w:t>.</w:t>
        </w:r>
        <w:r w:rsidRPr="008D753E">
          <w:rPr>
            <w:rStyle w:val="Hyperlink"/>
            <w:rFonts w:cstheme="minorHAnsi"/>
            <w:color w:val="3967C1"/>
            <w:sz w:val="24"/>
            <w:szCs w:val="24"/>
            <w:shd w:val="clear" w:color="auto" w:fill="F7F8FA"/>
          </w:rPr>
          <w:t>uk</w:t>
        </w:r>
      </w:hyperlink>
      <w:r>
        <w:rPr>
          <w:rFonts w:cstheme="minorHAnsi"/>
          <w:sz w:val="24"/>
          <w:szCs w:val="24"/>
        </w:rPr>
        <w:t>)</w:t>
      </w:r>
    </w:p>
    <w:p w14:paraId="7E7DC7FC" w14:textId="77777777" w:rsidR="00A15305" w:rsidRPr="008D753E" w:rsidRDefault="00A15305" w:rsidP="00A15305">
      <w:pPr>
        <w:jc w:val="both"/>
        <w:rPr>
          <w:rFonts w:cstheme="minorHAnsi"/>
          <w:sz w:val="24"/>
          <w:szCs w:val="24"/>
        </w:rPr>
      </w:pPr>
      <w:r w:rsidRPr="008D753E">
        <w:rPr>
          <w:rFonts w:cstheme="minorHAnsi"/>
          <w:sz w:val="24"/>
          <w:szCs w:val="24"/>
        </w:rPr>
        <w:t>Senior Lecturer in the School of Social Sciences, Education, and Social Work at Queen’s University Belfast.</w:t>
      </w:r>
    </w:p>
    <w:p w14:paraId="04B87D73" w14:textId="1109D04E" w:rsidR="00A15305" w:rsidRDefault="00A15305">
      <w:pPr>
        <w:rPr>
          <w:rFonts w:cstheme="minorHAnsi"/>
          <w:sz w:val="24"/>
          <w:szCs w:val="24"/>
        </w:rPr>
      </w:pPr>
      <w:r>
        <w:rPr>
          <w:rFonts w:cstheme="minorHAnsi"/>
          <w:sz w:val="24"/>
          <w:szCs w:val="24"/>
        </w:rPr>
        <w:br w:type="page"/>
      </w:r>
    </w:p>
    <w:p w14:paraId="40890618" w14:textId="63BBA4AD" w:rsidR="002C3A2B" w:rsidRDefault="00A15305" w:rsidP="00A15305">
      <w:pPr>
        <w:spacing w:after="0" w:line="240" w:lineRule="auto"/>
        <w:jc w:val="center"/>
        <w:rPr>
          <w:rFonts w:cstheme="minorHAnsi"/>
          <w:b/>
          <w:bCs/>
          <w:sz w:val="24"/>
          <w:szCs w:val="24"/>
        </w:rPr>
      </w:pPr>
      <w:r w:rsidRPr="002C5446">
        <w:rPr>
          <w:rFonts w:cstheme="minorHAnsi"/>
          <w:b/>
          <w:bCs/>
          <w:sz w:val="24"/>
          <w:szCs w:val="24"/>
        </w:rPr>
        <w:lastRenderedPageBreak/>
        <w:t>Perspectives on safeguarding older people: Voice, Choice, and Control</w:t>
      </w:r>
    </w:p>
    <w:p w14:paraId="7080F023" w14:textId="77777777" w:rsidR="00A15305" w:rsidRDefault="00A15305" w:rsidP="00A15305">
      <w:pPr>
        <w:spacing w:after="0" w:line="240" w:lineRule="auto"/>
        <w:jc w:val="center"/>
        <w:rPr>
          <w:rFonts w:cstheme="minorHAnsi"/>
          <w:sz w:val="24"/>
          <w:szCs w:val="24"/>
        </w:rPr>
      </w:pPr>
    </w:p>
    <w:p w14:paraId="4E190F87" w14:textId="2D5539C6" w:rsidR="0049223D" w:rsidRPr="002C5446" w:rsidRDefault="00E733BD" w:rsidP="002C5446">
      <w:pPr>
        <w:spacing w:after="0" w:line="240" w:lineRule="auto"/>
        <w:rPr>
          <w:rFonts w:eastAsia="Arial" w:cstheme="minorHAnsi"/>
          <w:sz w:val="24"/>
          <w:szCs w:val="24"/>
        </w:rPr>
      </w:pPr>
      <w:r w:rsidRPr="002C5446">
        <w:rPr>
          <w:rFonts w:cstheme="minorHAnsi"/>
          <w:sz w:val="24"/>
          <w:szCs w:val="24"/>
        </w:rPr>
        <w:t>This</w:t>
      </w:r>
      <w:r w:rsidR="004C7703" w:rsidRPr="002C5446">
        <w:rPr>
          <w:rFonts w:cstheme="minorHAnsi"/>
          <w:sz w:val="24"/>
          <w:szCs w:val="24"/>
        </w:rPr>
        <w:t xml:space="preserve"> special </w:t>
      </w:r>
      <w:r w:rsidRPr="002C5446">
        <w:rPr>
          <w:rFonts w:cstheme="minorHAnsi"/>
          <w:sz w:val="24"/>
          <w:szCs w:val="24"/>
        </w:rPr>
        <w:t>issue i</w:t>
      </w:r>
      <w:r w:rsidR="00F95CF9" w:rsidRPr="002C5446">
        <w:rPr>
          <w:rFonts w:cstheme="minorHAnsi"/>
          <w:sz w:val="24"/>
          <w:szCs w:val="24"/>
        </w:rPr>
        <w:t xml:space="preserve">s concerned with the safeguarding of older people </w:t>
      </w:r>
      <w:r w:rsidR="009411C1" w:rsidRPr="002C5446">
        <w:rPr>
          <w:rFonts w:cstheme="minorHAnsi"/>
          <w:sz w:val="24"/>
          <w:szCs w:val="24"/>
        </w:rPr>
        <w:t>who have experienced abuse and neglect</w:t>
      </w:r>
      <w:r w:rsidR="0094193D">
        <w:rPr>
          <w:rFonts w:cstheme="minorHAnsi"/>
          <w:sz w:val="24"/>
          <w:szCs w:val="24"/>
        </w:rPr>
        <w:t>. The papers included within this special issue explore</w:t>
      </w:r>
      <w:r w:rsidR="00F95CF9" w:rsidRPr="002C5446">
        <w:rPr>
          <w:rFonts w:cstheme="minorHAnsi"/>
          <w:sz w:val="24"/>
          <w:szCs w:val="24"/>
        </w:rPr>
        <w:t xml:space="preserve"> aspects of involvement and participation in adult safeguarding from a range of perspectives</w:t>
      </w:r>
      <w:r w:rsidR="003A2BA9" w:rsidRPr="002C5446">
        <w:rPr>
          <w:rFonts w:cstheme="minorHAnsi"/>
          <w:sz w:val="24"/>
          <w:szCs w:val="24"/>
        </w:rPr>
        <w:t xml:space="preserve"> across the United Kingdom (UK) and the Republic of Ireland (RoI)</w:t>
      </w:r>
      <w:r w:rsidR="00F95CF9" w:rsidRPr="002C5446">
        <w:rPr>
          <w:rFonts w:cstheme="minorHAnsi"/>
          <w:sz w:val="24"/>
          <w:szCs w:val="24"/>
        </w:rPr>
        <w:t xml:space="preserve">. </w:t>
      </w:r>
      <w:r w:rsidR="003A2BA9" w:rsidRPr="002C5446">
        <w:rPr>
          <w:rFonts w:cstheme="minorHAnsi"/>
          <w:sz w:val="24"/>
          <w:szCs w:val="24"/>
        </w:rPr>
        <w:t xml:space="preserve">Adult safeguarding is defined in different ways in different countries. Collectively the term describes national and local policy and practice responses </w:t>
      </w:r>
      <w:r w:rsidR="00587E37" w:rsidRPr="002C5446">
        <w:rPr>
          <w:rFonts w:cstheme="minorHAnsi"/>
          <w:sz w:val="24"/>
          <w:szCs w:val="24"/>
        </w:rPr>
        <w:t>to neglect</w:t>
      </w:r>
      <w:r w:rsidR="003A2BA9" w:rsidRPr="002C5446">
        <w:rPr>
          <w:rFonts w:cstheme="minorHAnsi"/>
          <w:sz w:val="24"/>
          <w:szCs w:val="24"/>
        </w:rPr>
        <w:t>, abuse</w:t>
      </w:r>
      <w:r w:rsidR="00AB5318" w:rsidRPr="002C5446">
        <w:rPr>
          <w:rFonts w:cstheme="minorHAnsi"/>
          <w:sz w:val="24"/>
          <w:szCs w:val="24"/>
        </w:rPr>
        <w:t xml:space="preserve">, </w:t>
      </w:r>
      <w:r w:rsidR="003A2BA9" w:rsidRPr="002C5446">
        <w:rPr>
          <w:rFonts w:cstheme="minorHAnsi"/>
          <w:sz w:val="24"/>
          <w:szCs w:val="24"/>
        </w:rPr>
        <w:t>and harm of an adult by another person; in some countries</w:t>
      </w:r>
      <w:r w:rsidR="00102D82" w:rsidRPr="002C5446">
        <w:rPr>
          <w:rFonts w:cstheme="minorHAnsi"/>
          <w:sz w:val="24"/>
          <w:szCs w:val="24"/>
        </w:rPr>
        <w:t xml:space="preserve"> it </w:t>
      </w:r>
      <w:r w:rsidR="003A2BA9" w:rsidRPr="002C5446">
        <w:rPr>
          <w:rFonts w:cstheme="minorHAnsi"/>
          <w:sz w:val="24"/>
          <w:szCs w:val="24"/>
        </w:rPr>
        <w:t xml:space="preserve">also covers self-neglect. </w:t>
      </w:r>
      <w:r w:rsidR="00F95CF9" w:rsidRPr="002C5446">
        <w:rPr>
          <w:rFonts w:cstheme="minorHAnsi"/>
          <w:sz w:val="24"/>
          <w:szCs w:val="24"/>
        </w:rPr>
        <w:t xml:space="preserve">Older people make up the largest proportion of adult safeguarding concerns, and yet their voices on </w:t>
      </w:r>
      <w:r w:rsidR="00587E37" w:rsidRPr="002C5446">
        <w:rPr>
          <w:rFonts w:cstheme="minorHAnsi"/>
          <w:sz w:val="24"/>
          <w:szCs w:val="24"/>
        </w:rPr>
        <w:t>this topic</w:t>
      </w:r>
      <w:r w:rsidR="00F95CF9" w:rsidRPr="002C5446">
        <w:rPr>
          <w:rFonts w:cstheme="minorHAnsi"/>
          <w:sz w:val="24"/>
          <w:szCs w:val="24"/>
        </w:rPr>
        <w:t xml:space="preserve"> are rarely heard. This special issue brings together a collection </w:t>
      </w:r>
      <w:r w:rsidR="00F95CF9" w:rsidRPr="002C5446">
        <w:rPr>
          <w:rFonts w:eastAsia="Arial" w:cstheme="minorHAnsi"/>
          <w:sz w:val="24"/>
          <w:szCs w:val="24"/>
        </w:rPr>
        <w:t>of papers which illuminate some of the individual</w:t>
      </w:r>
      <w:r w:rsidR="00D70DFB" w:rsidRPr="002C5446">
        <w:rPr>
          <w:rFonts w:eastAsia="Arial" w:cstheme="minorHAnsi"/>
          <w:sz w:val="24"/>
          <w:szCs w:val="24"/>
        </w:rPr>
        <w:t>, cultural,</w:t>
      </w:r>
      <w:r w:rsidR="00F95CF9" w:rsidRPr="002C5446">
        <w:rPr>
          <w:rFonts w:eastAsia="Arial" w:cstheme="minorHAnsi"/>
          <w:sz w:val="24"/>
          <w:szCs w:val="24"/>
        </w:rPr>
        <w:t xml:space="preserve"> and structural factors which contribute to a lack of voice, choice, and control for older people in adult safeguarding.</w:t>
      </w:r>
    </w:p>
    <w:p w14:paraId="6326EC8C" w14:textId="77777777" w:rsidR="0049223D" w:rsidRPr="002C5446" w:rsidRDefault="0049223D" w:rsidP="002C5446">
      <w:pPr>
        <w:spacing w:after="0" w:line="240" w:lineRule="auto"/>
        <w:rPr>
          <w:rFonts w:eastAsia="Arial" w:cstheme="minorHAnsi"/>
          <w:sz w:val="24"/>
          <w:szCs w:val="24"/>
        </w:rPr>
      </w:pPr>
    </w:p>
    <w:p w14:paraId="0FCD7DDF" w14:textId="75618A06" w:rsidR="0049223D" w:rsidRPr="002C5446" w:rsidRDefault="00131B40" w:rsidP="002C5446">
      <w:pPr>
        <w:spacing w:after="0" w:line="240" w:lineRule="auto"/>
        <w:rPr>
          <w:rFonts w:cstheme="minorHAnsi"/>
          <w:sz w:val="24"/>
          <w:szCs w:val="24"/>
        </w:rPr>
      </w:pPr>
      <w:r w:rsidRPr="002C5446">
        <w:rPr>
          <w:rFonts w:cstheme="minorHAnsi"/>
          <w:sz w:val="24"/>
          <w:szCs w:val="24"/>
        </w:rPr>
        <w:t xml:space="preserve">Elder abuse is a </w:t>
      </w:r>
      <w:r w:rsidR="008F69F9" w:rsidRPr="002C5446">
        <w:rPr>
          <w:rFonts w:cstheme="minorHAnsi"/>
          <w:sz w:val="24"/>
          <w:szCs w:val="24"/>
        </w:rPr>
        <w:t>key global issue</w:t>
      </w:r>
      <w:r w:rsidRPr="002C5446">
        <w:rPr>
          <w:rFonts w:cstheme="minorHAnsi"/>
          <w:sz w:val="24"/>
          <w:szCs w:val="24"/>
        </w:rPr>
        <w:t xml:space="preserve"> </w:t>
      </w:r>
      <w:r w:rsidR="0049223D" w:rsidRPr="002C5446">
        <w:rPr>
          <w:rFonts w:cstheme="minorHAnsi"/>
          <w:sz w:val="24"/>
          <w:szCs w:val="24"/>
        </w:rPr>
        <w:t>with estimates</w:t>
      </w:r>
      <w:r w:rsidR="008F69F9" w:rsidRPr="002C5446">
        <w:rPr>
          <w:rFonts w:cstheme="minorHAnsi"/>
          <w:sz w:val="24"/>
          <w:szCs w:val="24"/>
        </w:rPr>
        <w:t xml:space="preserve"> that 1 in 6 older people </w:t>
      </w:r>
      <w:r w:rsidR="00D70DFB" w:rsidRPr="002C5446">
        <w:rPr>
          <w:rFonts w:cstheme="minorHAnsi"/>
          <w:sz w:val="24"/>
          <w:szCs w:val="24"/>
        </w:rPr>
        <w:t xml:space="preserve">living in their own homes </w:t>
      </w:r>
      <w:r w:rsidR="008F69F9" w:rsidRPr="002C5446">
        <w:rPr>
          <w:rFonts w:cstheme="minorHAnsi"/>
          <w:sz w:val="24"/>
          <w:szCs w:val="24"/>
        </w:rPr>
        <w:t>experienc</w:t>
      </w:r>
      <w:r w:rsidR="006023A4" w:rsidRPr="002C5446">
        <w:rPr>
          <w:rFonts w:cstheme="minorHAnsi"/>
          <w:sz w:val="24"/>
          <w:szCs w:val="24"/>
        </w:rPr>
        <w:t>e</w:t>
      </w:r>
      <w:r w:rsidR="008F69F9" w:rsidRPr="002C5446">
        <w:rPr>
          <w:rFonts w:cstheme="minorHAnsi"/>
          <w:sz w:val="24"/>
          <w:szCs w:val="24"/>
        </w:rPr>
        <w:t xml:space="preserve"> abuse every year </w:t>
      </w:r>
      <w:r w:rsidR="006023A4" w:rsidRPr="002C5446">
        <w:rPr>
          <w:rFonts w:cstheme="minorHAnsi"/>
          <w:sz w:val="24"/>
          <w:szCs w:val="24"/>
        </w:rPr>
        <w:t xml:space="preserve">(WHO, 2022). </w:t>
      </w:r>
      <w:r w:rsidR="00262AA5" w:rsidRPr="002C5446">
        <w:rPr>
          <w:rFonts w:cstheme="minorHAnsi"/>
          <w:sz w:val="24"/>
          <w:szCs w:val="24"/>
        </w:rPr>
        <w:t xml:space="preserve">However, </w:t>
      </w:r>
      <w:r w:rsidR="00D30C7D" w:rsidRPr="002C5446">
        <w:rPr>
          <w:rFonts w:cstheme="minorHAnsi"/>
          <w:sz w:val="24"/>
          <w:szCs w:val="24"/>
        </w:rPr>
        <w:t xml:space="preserve">the prevalence is likely to be much higher </w:t>
      </w:r>
      <w:r w:rsidR="00AE3188" w:rsidRPr="002C5446">
        <w:rPr>
          <w:rFonts w:cstheme="minorHAnsi"/>
          <w:sz w:val="24"/>
          <w:szCs w:val="24"/>
        </w:rPr>
        <w:t>as</w:t>
      </w:r>
      <w:r w:rsidR="00D30C7D" w:rsidRPr="002C5446">
        <w:rPr>
          <w:rFonts w:cstheme="minorHAnsi"/>
          <w:sz w:val="24"/>
          <w:szCs w:val="24"/>
        </w:rPr>
        <w:t xml:space="preserve"> this figure does not include older people living in institutions. The prevalence of abuse in these settings is not well established, however, </w:t>
      </w:r>
      <w:r w:rsidR="00CE56A8" w:rsidRPr="002C5446">
        <w:rPr>
          <w:rFonts w:cstheme="minorHAnsi"/>
          <w:sz w:val="24"/>
          <w:szCs w:val="24"/>
        </w:rPr>
        <w:t xml:space="preserve">findings from </w:t>
      </w:r>
      <w:r w:rsidR="00B52F5A" w:rsidRPr="002C5446">
        <w:rPr>
          <w:rFonts w:cstheme="minorHAnsi"/>
          <w:sz w:val="24"/>
          <w:szCs w:val="24"/>
        </w:rPr>
        <w:t>Yon et al.</w:t>
      </w:r>
      <w:r w:rsidR="00CE56A8" w:rsidRPr="002C5446">
        <w:rPr>
          <w:rFonts w:cstheme="minorHAnsi"/>
          <w:sz w:val="24"/>
          <w:szCs w:val="24"/>
        </w:rPr>
        <w:t>’s</w:t>
      </w:r>
      <w:r w:rsidR="00B52F5A" w:rsidRPr="002C5446">
        <w:rPr>
          <w:rFonts w:cstheme="minorHAnsi"/>
          <w:sz w:val="24"/>
          <w:szCs w:val="24"/>
        </w:rPr>
        <w:t xml:space="preserve"> (2019) </w:t>
      </w:r>
      <w:r w:rsidR="00D70DFB" w:rsidRPr="002C5446">
        <w:rPr>
          <w:rFonts w:cstheme="minorHAnsi"/>
          <w:sz w:val="24"/>
          <w:szCs w:val="24"/>
        </w:rPr>
        <w:t>systematic review</w:t>
      </w:r>
      <w:r w:rsidR="00A5120F" w:rsidRPr="002C5446">
        <w:rPr>
          <w:rFonts w:cstheme="minorHAnsi"/>
          <w:sz w:val="24"/>
          <w:szCs w:val="24"/>
        </w:rPr>
        <w:t xml:space="preserve"> and meta-analysis</w:t>
      </w:r>
      <w:r w:rsidR="00CE56A8" w:rsidRPr="002C5446">
        <w:rPr>
          <w:rFonts w:cstheme="minorHAnsi"/>
          <w:sz w:val="24"/>
          <w:szCs w:val="24"/>
        </w:rPr>
        <w:t xml:space="preserve"> </w:t>
      </w:r>
      <w:r w:rsidR="00D70DFB" w:rsidRPr="002C5446">
        <w:rPr>
          <w:rFonts w:cstheme="minorHAnsi"/>
          <w:sz w:val="24"/>
          <w:szCs w:val="24"/>
        </w:rPr>
        <w:t>(which included</w:t>
      </w:r>
      <w:r w:rsidR="00F904B2" w:rsidRPr="002C5446">
        <w:rPr>
          <w:rFonts w:cstheme="minorHAnsi"/>
          <w:sz w:val="24"/>
          <w:szCs w:val="24"/>
        </w:rPr>
        <w:t xml:space="preserve"> Czech Republic, Israel, Slovenia, USA, Germany and Ireland</w:t>
      </w:r>
      <w:r w:rsidR="00D70DFB" w:rsidRPr="002C5446">
        <w:rPr>
          <w:rFonts w:cstheme="minorHAnsi"/>
          <w:sz w:val="24"/>
          <w:szCs w:val="24"/>
        </w:rPr>
        <w:t xml:space="preserve">) </w:t>
      </w:r>
      <w:r w:rsidR="00E04CAF" w:rsidRPr="002C5446">
        <w:rPr>
          <w:rFonts w:cstheme="minorHAnsi"/>
          <w:sz w:val="24"/>
          <w:szCs w:val="24"/>
        </w:rPr>
        <w:t>showed that as many as 64.2% of staff working in institutional settings</w:t>
      </w:r>
      <w:r w:rsidR="00FD3F81" w:rsidRPr="002C5446">
        <w:rPr>
          <w:rFonts w:cstheme="minorHAnsi"/>
          <w:sz w:val="24"/>
          <w:szCs w:val="24"/>
        </w:rPr>
        <w:t xml:space="preserve"> admitted to perpetrating</w:t>
      </w:r>
      <w:r w:rsidR="00E04CAF" w:rsidRPr="002C5446">
        <w:rPr>
          <w:rFonts w:cstheme="minorHAnsi"/>
          <w:sz w:val="24"/>
          <w:szCs w:val="24"/>
        </w:rPr>
        <w:t xml:space="preserve"> elder abuse</w:t>
      </w:r>
      <w:r w:rsidR="00D56A38" w:rsidRPr="002C5446">
        <w:rPr>
          <w:rFonts w:cstheme="minorHAnsi"/>
          <w:sz w:val="24"/>
          <w:szCs w:val="24"/>
        </w:rPr>
        <w:t xml:space="preserve"> and neglect</w:t>
      </w:r>
      <w:r w:rsidR="00E04CAF" w:rsidRPr="002C5446">
        <w:rPr>
          <w:rFonts w:cstheme="minorHAnsi"/>
          <w:sz w:val="24"/>
          <w:szCs w:val="24"/>
        </w:rPr>
        <w:t xml:space="preserve">. </w:t>
      </w:r>
      <w:r w:rsidR="00D70DFB" w:rsidRPr="002C5446">
        <w:rPr>
          <w:rFonts w:cstheme="minorHAnsi"/>
          <w:sz w:val="24"/>
          <w:szCs w:val="24"/>
        </w:rPr>
        <w:t xml:space="preserve">Additionally, staff reported abuse as ‘sometimes’ happening in 91 of the 92 English care homes included within Cooper et al.’s (2018) research. </w:t>
      </w:r>
      <w:r w:rsidR="0049223D" w:rsidRPr="002C5446">
        <w:rPr>
          <w:rFonts w:eastAsia="Arial" w:cstheme="minorHAnsi"/>
          <w:sz w:val="24"/>
          <w:szCs w:val="24"/>
        </w:rPr>
        <w:t>There is also evidence that older people who have a diagnosis of dementia are more likely to experience abuse and neglect than those without (Fan</w:t>
      </w:r>
      <w:r w:rsidR="00753D7C" w:rsidRPr="002C5446">
        <w:rPr>
          <w:rFonts w:eastAsia="Arial" w:cstheme="minorHAnsi"/>
          <w:sz w:val="24"/>
          <w:szCs w:val="24"/>
        </w:rPr>
        <w:t>g</w:t>
      </w:r>
      <w:r w:rsidR="0049223D" w:rsidRPr="002C5446">
        <w:rPr>
          <w:rFonts w:eastAsia="Arial" w:cstheme="minorHAnsi"/>
          <w:sz w:val="24"/>
          <w:szCs w:val="24"/>
        </w:rPr>
        <w:t xml:space="preserve"> &amp; Yan, 2018). </w:t>
      </w:r>
      <w:r w:rsidR="00AE3717" w:rsidRPr="002C5446">
        <w:rPr>
          <w:rFonts w:cstheme="minorHAnsi"/>
          <w:sz w:val="24"/>
          <w:szCs w:val="24"/>
        </w:rPr>
        <w:t xml:space="preserve">Within the UK alone </w:t>
      </w:r>
      <w:r w:rsidR="000C77FF" w:rsidRPr="002C5446">
        <w:rPr>
          <w:rFonts w:cstheme="minorHAnsi"/>
          <w:sz w:val="24"/>
          <w:szCs w:val="24"/>
        </w:rPr>
        <w:t>several</w:t>
      </w:r>
      <w:r w:rsidR="00606B7F" w:rsidRPr="002C5446">
        <w:rPr>
          <w:rFonts w:cstheme="minorHAnsi"/>
          <w:sz w:val="24"/>
          <w:szCs w:val="24"/>
        </w:rPr>
        <w:t xml:space="preserve"> h</w:t>
      </w:r>
      <w:r w:rsidR="005917CD" w:rsidRPr="002C5446">
        <w:rPr>
          <w:rFonts w:cstheme="minorHAnsi"/>
          <w:sz w:val="24"/>
          <w:szCs w:val="24"/>
        </w:rPr>
        <w:t>orrific</w:t>
      </w:r>
      <w:r w:rsidR="00606B7F" w:rsidRPr="002C5446">
        <w:rPr>
          <w:rFonts w:cstheme="minorHAnsi"/>
          <w:sz w:val="24"/>
          <w:szCs w:val="24"/>
        </w:rPr>
        <w:t xml:space="preserve"> cases of elder abuse have been reported within the news, </w:t>
      </w:r>
      <w:r w:rsidR="00B70447" w:rsidRPr="002C5446">
        <w:rPr>
          <w:rFonts w:cstheme="minorHAnsi"/>
          <w:sz w:val="24"/>
          <w:szCs w:val="24"/>
        </w:rPr>
        <w:t xml:space="preserve">for example, the deaths of four older people in hospital </w:t>
      </w:r>
      <w:r w:rsidR="00603534" w:rsidRPr="002C5446">
        <w:rPr>
          <w:rFonts w:cstheme="minorHAnsi"/>
          <w:sz w:val="24"/>
          <w:szCs w:val="24"/>
        </w:rPr>
        <w:t>because of</w:t>
      </w:r>
      <w:r w:rsidR="00B70447" w:rsidRPr="002C5446">
        <w:rPr>
          <w:rFonts w:cstheme="minorHAnsi"/>
          <w:sz w:val="24"/>
          <w:szCs w:val="24"/>
        </w:rPr>
        <w:t xml:space="preserve"> poor care and health and safety breaches (Press Association, 2015). Others have been </w:t>
      </w:r>
      <w:r w:rsidR="00C71AA8" w:rsidRPr="002C5446">
        <w:rPr>
          <w:rFonts w:cstheme="minorHAnsi"/>
          <w:sz w:val="24"/>
          <w:szCs w:val="24"/>
        </w:rPr>
        <w:t xml:space="preserve">exposed </w:t>
      </w:r>
      <w:r w:rsidR="00FC4611" w:rsidRPr="002C5446">
        <w:rPr>
          <w:rFonts w:cstheme="minorHAnsi"/>
          <w:sz w:val="24"/>
          <w:szCs w:val="24"/>
        </w:rPr>
        <w:t>through documentaries such as Panorama’s “Behind Closed Doors: Elderly Care Exposed”</w:t>
      </w:r>
      <w:r w:rsidR="005540DA" w:rsidRPr="002C5446">
        <w:rPr>
          <w:rFonts w:cstheme="minorHAnsi"/>
          <w:sz w:val="24"/>
          <w:szCs w:val="24"/>
        </w:rPr>
        <w:t xml:space="preserve"> episode which highlighted issues with poor care, neglect, and mistreatment (BBC, 2014)</w:t>
      </w:r>
      <w:r w:rsidR="00AE3717" w:rsidRPr="002C5446">
        <w:rPr>
          <w:rFonts w:cstheme="minorHAnsi"/>
          <w:sz w:val="24"/>
          <w:szCs w:val="24"/>
        </w:rPr>
        <w:t>.</w:t>
      </w:r>
      <w:r w:rsidR="00712B12" w:rsidRPr="002C5446">
        <w:rPr>
          <w:rFonts w:eastAsia="Arial" w:cstheme="minorHAnsi"/>
          <w:sz w:val="24"/>
          <w:szCs w:val="24"/>
        </w:rPr>
        <w:t xml:space="preserve"> </w:t>
      </w:r>
    </w:p>
    <w:p w14:paraId="35A3C4AF" w14:textId="77777777" w:rsidR="0049223D" w:rsidRPr="002C5446" w:rsidRDefault="0049223D" w:rsidP="002C5446">
      <w:pPr>
        <w:spacing w:after="0" w:line="240" w:lineRule="auto"/>
        <w:rPr>
          <w:rFonts w:eastAsia="Arial" w:cstheme="minorHAnsi"/>
          <w:sz w:val="24"/>
          <w:szCs w:val="24"/>
        </w:rPr>
      </w:pPr>
    </w:p>
    <w:p w14:paraId="4A5A44EC" w14:textId="038DBD11" w:rsidR="0018276F" w:rsidRPr="002C5446" w:rsidRDefault="0018276F" w:rsidP="002C5446">
      <w:pPr>
        <w:spacing w:after="0" w:line="0" w:lineRule="atLeast"/>
        <w:rPr>
          <w:rFonts w:eastAsia="Arial" w:cstheme="minorHAnsi"/>
          <w:sz w:val="24"/>
          <w:szCs w:val="24"/>
        </w:rPr>
      </w:pPr>
      <w:r w:rsidRPr="002C5446">
        <w:rPr>
          <w:rFonts w:eastAsia="Arial" w:cstheme="minorHAnsi"/>
          <w:sz w:val="24"/>
          <w:szCs w:val="24"/>
        </w:rPr>
        <w:t>Adult abuse itself has been conceptualised within safeguarding in an individual</w:t>
      </w:r>
      <w:r w:rsidR="00B70447" w:rsidRPr="002C5446">
        <w:rPr>
          <w:rFonts w:eastAsia="Arial" w:cstheme="minorHAnsi"/>
          <w:sz w:val="24"/>
          <w:szCs w:val="24"/>
        </w:rPr>
        <w:t>istic</w:t>
      </w:r>
      <w:r w:rsidRPr="002C5446">
        <w:rPr>
          <w:rFonts w:eastAsia="Arial" w:cstheme="minorHAnsi"/>
          <w:sz w:val="24"/>
          <w:szCs w:val="24"/>
        </w:rPr>
        <w:t xml:space="preserve"> manner, as interpersonal abuse, which ignores structural issues. However, as this issue highlights, structural issues intersect with individual issues in reducing </w:t>
      </w:r>
      <w:r w:rsidR="00316C0E" w:rsidRPr="002C5446">
        <w:rPr>
          <w:rFonts w:eastAsia="Arial" w:cstheme="minorHAnsi"/>
          <w:sz w:val="24"/>
          <w:szCs w:val="24"/>
        </w:rPr>
        <w:t>opportunities</w:t>
      </w:r>
      <w:r w:rsidR="00BE2C75" w:rsidRPr="002C5446">
        <w:rPr>
          <w:rFonts w:eastAsia="Arial" w:cstheme="minorHAnsi"/>
          <w:sz w:val="24"/>
          <w:szCs w:val="24"/>
        </w:rPr>
        <w:t xml:space="preserve"> for older people to have a voice</w:t>
      </w:r>
      <w:r w:rsidR="00316C0E" w:rsidRPr="002C5446">
        <w:rPr>
          <w:rFonts w:eastAsia="Arial" w:cstheme="minorHAnsi"/>
          <w:sz w:val="24"/>
          <w:szCs w:val="24"/>
        </w:rPr>
        <w:t xml:space="preserve"> </w:t>
      </w:r>
      <w:r w:rsidRPr="002C5446">
        <w:rPr>
          <w:rFonts w:eastAsia="Arial" w:cstheme="minorHAnsi"/>
          <w:sz w:val="24"/>
          <w:szCs w:val="24"/>
        </w:rPr>
        <w:t>and the way in which older people are positioned within society contributes to a lack of voice, choice, and control</w:t>
      </w:r>
      <w:r w:rsidR="00B3238C" w:rsidRPr="002C5446">
        <w:rPr>
          <w:rFonts w:eastAsia="Arial" w:cstheme="minorHAnsi"/>
          <w:sz w:val="24"/>
          <w:szCs w:val="24"/>
        </w:rPr>
        <w:t>.</w:t>
      </w:r>
      <w:r w:rsidRPr="002C5446">
        <w:rPr>
          <w:rFonts w:eastAsia="Arial" w:cstheme="minorHAnsi"/>
          <w:sz w:val="24"/>
          <w:szCs w:val="24"/>
        </w:rPr>
        <w:t xml:space="preserve"> For example, </w:t>
      </w:r>
      <w:r w:rsidRPr="002C5446">
        <w:rPr>
          <w:rFonts w:cstheme="minorHAnsi"/>
          <w:sz w:val="24"/>
          <w:szCs w:val="24"/>
          <w:lang w:val="en-US"/>
        </w:rPr>
        <w:t>a key factor which authors included within this collection have highlighted is the role of ageism in reducing opportunities for older people to be heard. Ageism</w:t>
      </w:r>
      <w:r w:rsidRPr="002C5446">
        <w:rPr>
          <w:rFonts w:eastAsia="Arial" w:cstheme="minorHAnsi"/>
          <w:sz w:val="24"/>
          <w:szCs w:val="24"/>
        </w:rPr>
        <w:t xml:space="preserve"> contributes to abuse and can be experienced by older people as being abusive. Combatting ageism was highlighted as the first concern in WHO’s (2022) priorities for preventing and responding to elder abuse. WHO (2022, p. 4) identified that:</w:t>
      </w:r>
    </w:p>
    <w:p w14:paraId="64FE16E9" w14:textId="77777777" w:rsidR="0018276F" w:rsidRPr="002C5446" w:rsidRDefault="0018276F" w:rsidP="002C5446">
      <w:pPr>
        <w:spacing w:after="0" w:line="0" w:lineRule="atLeast"/>
        <w:rPr>
          <w:rFonts w:eastAsia="Arial" w:cstheme="minorHAnsi"/>
          <w:sz w:val="24"/>
          <w:szCs w:val="24"/>
        </w:rPr>
      </w:pPr>
    </w:p>
    <w:p w14:paraId="5E6E7F4B" w14:textId="21E4AEAA" w:rsidR="0018276F" w:rsidRPr="002C5446" w:rsidRDefault="0018276F" w:rsidP="002C5446">
      <w:pPr>
        <w:spacing w:after="0" w:line="0" w:lineRule="atLeast"/>
        <w:ind w:left="432" w:right="432"/>
        <w:rPr>
          <w:rFonts w:cstheme="minorHAnsi"/>
          <w:sz w:val="24"/>
          <w:szCs w:val="24"/>
        </w:rPr>
      </w:pPr>
      <w:r w:rsidRPr="002C5446">
        <w:rPr>
          <w:rFonts w:eastAsia="Arial" w:cstheme="minorHAnsi"/>
          <w:sz w:val="24"/>
          <w:szCs w:val="24"/>
        </w:rPr>
        <w:t xml:space="preserve"> </w:t>
      </w:r>
      <w:r w:rsidR="006A3B9C">
        <w:rPr>
          <w:rFonts w:cstheme="minorHAnsi"/>
          <w:sz w:val="24"/>
          <w:szCs w:val="24"/>
        </w:rPr>
        <w:t>“</w:t>
      </w:r>
      <w:r w:rsidRPr="002C5446">
        <w:rPr>
          <w:rFonts w:cstheme="minorHAnsi"/>
          <w:sz w:val="24"/>
          <w:szCs w:val="24"/>
        </w:rPr>
        <w:t>Ageism was considered to be both the major reason for the low global priority of and a major risk factor for abuse of older people. The shame and stigmatization associated with abuse of older people were also viewed as contributing to the low priority of the issue.”</w:t>
      </w:r>
    </w:p>
    <w:p w14:paraId="16E5C9F1" w14:textId="77777777" w:rsidR="0018276F" w:rsidRPr="002C5446" w:rsidRDefault="0018276F" w:rsidP="002C5446">
      <w:pPr>
        <w:spacing w:after="0" w:line="0" w:lineRule="atLeast"/>
        <w:rPr>
          <w:rFonts w:cstheme="minorHAnsi"/>
          <w:sz w:val="24"/>
          <w:szCs w:val="24"/>
        </w:rPr>
      </w:pPr>
    </w:p>
    <w:p w14:paraId="7D5EF272" w14:textId="6DE2803E" w:rsidR="0018276F" w:rsidRPr="002C5446" w:rsidRDefault="00B3238C" w:rsidP="001F1B41">
      <w:pPr>
        <w:rPr>
          <w:rFonts w:eastAsia="Arial" w:cstheme="minorHAnsi"/>
          <w:sz w:val="24"/>
          <w:szCs w:val="24"/>
        </w:rPr>
      </w:pPr>
      <w:r w:rsidRPr="002C5446">
        <w:rPr>
          <w:rFonts w:cstheme="minorHAnsi"/>
          <w:sz w:val="24"/>
          <w:szCs w:val="24"/>
        </w:rPr>
        <w:lastRenderedPageBreak/>
        <w:t xml:space="preserve">Recent global challenges have highlighted </w:t>
      </w:r>
      <w:r w:rsidR="00587E37" w:rsidRPr="002C5446">
        <w:rPr>
          <w:rFonts w:cstheme="minorHAnsi"/>
          <w:sz w:val="24"/>
          <w:szCs w:val="24"/>
        </w:rPr>
        <w:t xml:space="preserve">how </w:t>
      </w:r>
      <w:r w:rsidRPr="002C5446">
        <w:rPr>
          <w:rFonts w:cstheme="minorHAnsi"/>
          <w:sz w:val="24"/>
          <w:szCs w:val="24"/>
        </w:rPr>
        <w:t xml:space="preserve">ageism </w:t>
      </w:r>
      <w:r w:rsidR="00587E37" w:rsidRPr="002C5446">
        <w:rPr>
          <w:rFonts w:cstheme="minorHAnsi"/>
          <w:sz w:val="24"/>
          <w:szCs w:val="24"/>
        </w:rPr>
        <w:t xml:space="preserve">leads to an </w:t>
      </w:r>
      <w:r w:rsidR="005C5457" w:rsidRPr="002C5446">
        <w:rPr>
          <w:rFonts w:cstheme="minorHAnsi"/>
          <w:sz w:val="24"/>
          <w:szCs w:val="24"/>
        </w:rPr>
        <w:t>erosion</w:t>
      </w:r>
      <w:r w:rsidR="00587E37" w:rsidRPr="002C5446">
        <w:rPr>
          <w:rFonts w:cstheme="minorHAnsi"/>
          <w:sz w:val="24"/>
          <w:szCs w:val="24"/>
        </w:rPr>
        <w:t xml:space="preserve"> of </w:t>
      </w:r>
      <w:r w:rsidR="005C5457" w:rsidRPr="002C5446">
        <w:rPr>
          <w:rFonts w:cstheme="minorHAnsi"/>
          <w:sz w:val="24"/>
          <w:szCs w:val="24"/>
        </w:rPr>
        <w:t xml:space="preserve">human rights </w:t>
      </w:r>
      <w:r w:rsidR="00C51523" w:rsidRPr="002C5446">
        <w:rPr>
          <w:rFonts w:cstheme="minorHAnsi"/>
          <w:sz w:val="24"/>
          <w:szCs w:val="24"/>
        </w:rPr>
        <w:t xml:space="preserve">for </w:t>
      </w:r>
      <w:r w:rsidR="005C5457" w:rsidRPr="002C5446">
        <w:rPr>
          <w:rFonts w:cstheme="minorHAnsi"/>
          <w:sz w:val="24"/>
          <w:szCs w:val="24"/>
        </w:rPr>
        <w:t xml:space="preserve">older people. For example, the Covid-19 pandemic </w:t>
      </w:r>
      <w:r w:rsidR="00277425" w:rsidRPr="002C5446">
        <w:rPr>
          <w:rFonts w:cstheme="minorHAnsi"/>
          <w:sz w:val="24"/>
          <w:szCs w:val="24"/>
        </w:rPr>
        <w:t xml:space="preserve">impacted older </w:t>
      </w:r>
      <w:r w:rsidR="006E6E2F">
        <w:rPr>
          <w:rFonts w:cstheme="minorHAnsi"/>
          <w:sz w:val="24"/>
          <w:szCs w:val="24"/>
        </w:rPr>
        <w:t>people</w:t>
      </w:r>
      <w:r w:rsidR="00182B48" w:rsidRPr="002C5446">
        <w:rPr>
          <w:rFonts w:cstheme="minorHAnsi"/>
          <w:sz w:val="24"/>
          <w:szCs w:val="24"/>
        </w:rPr>
        <w:t xml:space="preserve"> in the community</w:t>
      </w:r>
      <w:r w:rsidR="00277425" w:rsidRPr="002C5446">
        <w:rPr>
          <w:rFonts w:cstheme="minorHAnsi"/>
          <w:sz w:val="24"/>
          <w:szCs w:val="24"/>
        </w:rPr>
        <w:t xml:space="preserve"> who </w:t>
      </w:r>
      <w:r w:rsidR="002F11D9" w:rsidRPr="002C5446">
        <w:rPr>
          <w:rFonts w:cstheme="minorHAnsi"/>
          <w:sz w:val="24"/>
          <w:szCs w:val="24"/>
        </w:rPr>
        <w:t xml:space="preserve">faced increased </w:t>
      </w:r>
      <w:r w:rsidR="00FE6805" w:rsidRPr="002C5446">
        <w:rPr>
          <w:rFonts w:cstheme="minorHAnsi"/>
          <w:sz w:val="24"/>
          <w:szCs w:val="24"/>
        </w:rPr>
        <w:t>social isolation</w:t>
      </w:r>
      <w:r w:rsidR="002C2975" w:rsidRPr="002C5446">
        <w:rPr>
          <w:rFonts w:cstheme="minorHAnsi"/>
          <w:sz w:val="24"/>
          <w:szCs w:val="24"/>
        </w:rPr>
        <w:t xml:space="preserve"> and </w:t>
      </w:r>
      <w:r w:rsidR="00FE6805" w:rsidRPr="002C5446">
        <w:rPr>
          <w:rFonts w:cstheme="minorHAnsi"/>
          <w:sz w:val="24"/>
          <w:szCs w:val="24"/>
        </w:rPr>
        <w:t>reduction</w:t>
      </w:r>
      <w:r w:rsidR="002C2975" w:rsidRPr="002C5446">
        <w:rPr>
          <w:rFonts w:cstheme="minorHAnsi"/>
          <w:sz w:val="24"/>
          <w:szCs w:val="24"/>
        </w:rPr>
        <w:t>s</w:t>
      </w:r>
      <w:r w:rsidR="00FE6805" w:rsidRPr="002C5446">
        <w:rPr>
          <w:rFonts w:cstheme="minorHAnsi"/>
          <w:sz w:val="24"/>
          <w:szCs w:val="24"/>
        </w:rPr>
        <w:t xml:space="preserve"> in care and support</w:t>
      </w:r>
      <w:r w:rsidR="002C2975" w:rsidRPr="002C5446">
        <w:rPr>
          <w:rFonts w:cstheme="minorHAnsi"/>
          <w:sz w:val="24"/>
          <w:szCs w:val="24"/>
        </w:rPr>
        <w:t xml:space="preserve"> </w:t>
      </w:r>
      <w:r w:rsidR="00C51523" w:rsidRPr="002C5446">
        <w:rPr>
          <w:rFonts w:cstheme="minorHAnsi"/>
          <w:sz w:val="24"/>
          <w:szCs w:val="24"/>
        </w:rPr>
        <w:t xml:space="preserve">in their own homes due to government restrictions on interpersonal contact </w:t>
      </w:r>
      <w:r w:rsidR="002C2975" w:rsidRPr="002C5446">
        <w:rPr>
          <w:rFonts w:cstheme="minorHAnsi"/>
          <w:sz w:val="24"/>
          <w:szCs w:val="24"/>
        </w:rPr>
        <w:t>(Pentaris et al. 2020)</w:t>
      </w:r>
      <w:r w:rsidR="001C283B">
        <w:rPr>
          <w:rFonts w:cstheme="minorHAnsi"/>
          <w:sz w:val="24"/>
          <w:szCs w:val="24"/>
        </w:rPr>
        <w:t>. It also impacted older people</w:t>
      </w:r>
      <w:r w:rsidR="00182B48" w:rsidRPr="002C5446">
        <w:rPr>
          <w:rFonts w:cstheme="minorHAnsi"/>
          <w:sz w:val="24"/>
          <w:szCs w:val="24"/>
        </w:rPr>
        <w:t xml:space="preserve"> within institutions where </w:t>
      </w:r>
      <w:r w:rsidR="006E4794" w:rsidRPr="002C5446">
        <w:rPr>
          <w:rFonts w:cstheme="minorHAnsi"/>
          <w:sz w:val="24"/>
          <w:szCs w:val="24"/>
        </w:rPr>
        <w:t>violations to their human rights</w:t>
      </w:r>
      <w:r w:rsidR="00B70447" w:rsidRPr="002C5446">
        <w:rPr>
          <w:rFonts w:cstheme="minorHAnsi"/>
          <w:sz w:val="24"/>
          <w:szCs w:val="24"/>
        </w:rPr>
        <w:t xml:space="preserve">, including rights to life, liberty, private and family life as well as prohibition of torture and discrimination, </w:t>
      </w:r>
      <w:r w:rsidR="006E4794" w:rsidRPr="002C5446">
        <w:rPr>
          <w:rFonts w:cstheme="minorHAnsi"/>
          <w:sz w:val="24"/>
          <w:szCs w:val="24"/>
        </w:rPr>
        <w:t>were noted by Anand et al. (</w:t>
      </w:r>
      <w:r w:rsidR="00E13527" w:rsidRPr="002C5446">
        <w:rPr>
          <w:rFonts w:cstheme="minorHAnsi"/>
          <w:sz w:val="24"/>
          <w:szCs w:val="24"/>
        </w:rPr>
        <w:t xml:space="preserve">2021). </w:t>
      </w:r>
      <w:r w:rsidR="0092730B" w:rsidRPr="002C5446">
        <w:rPr>
          <w:rFonts w:cstheme="minorHAnsi"/>
          <w:sz w:val="24"/>
          <w:szCs w:val="24"/>
        </w:rPr>
        <w:t>It was also widely reported that abuse and neglect increased during the pandemic</w:t>
      </w:r>
      <w:r w:rsidR="001B209D" w:rsidRPr="002C5446">
        <w:rPr>
          <w:rFonts w:cstheme="minorHAnsi"/>
          <w:sz w:val="24"/>
          <w:szCs w:val="24"/>
        </w:rPr>
        <w:t xml:space="preserve"> (e.g. </w:t>
      </w:r>
      <w:proofErr w:type="spellStart"/>
      <w:r w:rsidR="001B209D" w:rsidRPr="002C5446">
        <w:rPr>
          <w:rFonts w:cstheme="minorHAnsi"/>
          <w:sz w:val="24"/>
          <w:szCs w:val="24"/>
        </w:rPr>
        <w:t>Yonus</w:t>
      </w:r>
      <w:proofErr w:type="spellEnd"/>
      <w:r w:rsidR="001B209D" w:rsidRPr="002C5446">
        <w:rPr>
          <w:rFonts w:cstheme="minorHAnsi"/>
          <w:sz w:val="24"/>
          <w:szCs w:val="24"/>
        </w:rPr>
        <w:t xml:space="preserve">, Abdullah, &amp; Firdaus, 2021). </w:t>
      </w:r>
      <w:r w:rsidR="00077477" w:rsidRPr="002C5446">
        <w:rPr>
          <w:rFonts w:cstheme="minorHAnsi"/>
          <w:sz w:val="24"/>
          <w:szCs w:val="24"/>
        </w:rPr>
        <w:t>Public response to the pandemic also exposed negative attitudes about older people and a</w:t>
      </w:r>
      <w:r w:rsidR="005F77C7" w:rsidRPr="002C5446">
        <w:rPr>
          <w:rFonts w:cstheme="minorHAnsi"/>
          <w:sz w:val="24"/>
          <w:szCs w:val="24"/>
        </w:rPr>
        <w:t xml:space="preserve"> narrative that was </w:t>
      </w:r>
      <w:r w:rsidR="007D2C88" w:rsidRPr="002C5446">
        <w:rPr>
          <w:rFonts w:cstheme="minorHAnsi"/>
          <w:sz w:val="24"/>
          <w:szCs w:val="24"/>
        </w:rPr>
        <w:t>permeated by ageism</w:t>
      </w:r>
      <w:r w:rsidR="005F77C7" w:rsidRPr="002C5446">
        <w:rPr>
          <w:rFonts w:cstheme="minorHAnsi"/>
          <w:sz w:val="24"/>
          <w:szCs w:val="24"/>
        </w:rPr>
        <w:t xml:space="preserve">. </w:t>
      </w:r>
      <w:proofErr w:type="spellStart"/>
      <w:r w:rsidR="007D2C88" w:rsidRPr="002C5446">
        <w:rPr>
          <w:rFonts w:cstheme="minorHAnsi"/>
          <w:sz w:val="24"/>
          <w:szCs w:val="24"/>
        </w:rPr>
        <w:t>Lichtenstien</w:t>
      </w:r>
      <w:proofErr w:type="spellEnd"/>
      <w:r w:rsidR="007D2C88" w:rsidRPr="002C5446">
        <w:rPr>
          <w:rFonts w:cstheme="minorHAnsi"/>
          <w:sz w:val="24"/>
          <w:szCs w:val="24"/>
        </w:rPr>
        <w:t xml:space="preserve"> (202</w:t>
      </w:r>
      <w:r w:rsidR="000D5661" w:rsidRPr="002C5446">
        <w:rPr>
          <w:rFonts w:cstheme="minorHAnsi"/>
          <w:sz w:val="24"/>
          <w:szCs w:val="24"/>
        </w:rPr>
        <w:t>1</w:t>
      </w:r>
      <w:r w:rsidR="00124F9D" w:rsidRPr="002C5446">
        <w:rPr>
          <w:rFonts w:cstheme="minorHAnsi"/>
          <w:sz w:val="24"/>
          <w:szCs w:val="24"/>
        </w:rPr>
        <w:t xml:space="preserve">, p. </w:t>
      </w:r>
      <w:proofErr w:type="spellStart"/>
      <w:r w:rsidR="000D5661" w:rsidRPr="002C5446">
        <w:rPr>
          <w:rFonts w:cstheme="minorHAnsi"/>
          <w:sz w:val="24"/>
          <w:szCs w:val="24"/>
        </w:rPr>
        <w:t>e210</w:t>
      </w:r>
      <w:proofErr w:type="spellEnd"/>
      <w:r w:rsidR="007D2C88" w:rsidRPr="002C5446">
        <w:rPr>
          <w:rFonts w:cstheme="minorHAnsi"/>
          <w:sz w:val="24"/>
          <w:szCs w:val="24"/>
        </w:rPr>
        <w:t xml:space="preserve">), for example, </w:t>
      </w:r>
      <w:r w:rsidR="00D435DB" w:rsidRPr="002C5446">
        <w:rPr>
          <w:rFonts w:cstheme="minorHAnsi"/>
          <w:sz w:val="24"/>
          <w:szCs w:val="24"/>
        </w:rPr>
        <w:t xml:space="preserve">examined ageism in public media </w:t>
      </w:r>
      <w:r w:rsidR="00091366" w:rsidRPr="002C5446">
        <w:rPr>
          <w:rFonts w:cstheme="minorHAnsi"/>
          <w:sz w:val="24"/>
          <w:szCs w:val="24"/>
        </w:rPr>
        <w:t xml:space="preserve">on Covid-19 and found </w:t>
      </w:r>
      <w:r w:rsidR="00A172E8" w:rsidRPr="002C5446">
        <w:rPr>
          <w:rFonts w:cstheme="minorHAnsi"/>
          <w:sz w:val="24"/>
          <w:szCs w:val="24"/>
        </w:rPr>
        <w:t>a “rhetoric of</w:t>
      </w:r>
      <w:r w:rsidR="000336B7" w:rsidRPr="002C5446">
        <w:rPr>
          <w:rFonts w:cstheme="minorHAnsi"/>
          <w:sz w:val="24"/>
          <w:szCs w:val="24"/>
        </w:rPr>
        <w:t xml:space="preserve"> disposability and blame”</w:t>
      </w:r>
      <w:r w:rsidR="001D1703" w:rsidRPr="002C5446">
        <w:rPr>
          <w:rFonts w:cstheme="minorHAnsi"/>
          <w:sz w:val="24"/>
          <w:szCs w:val="24"/>
        </w:rPr>
        <w:t xml:space="preserve"> and three years after this research was published reports </w:t>
      </w:r>
      <w:r w:rsidR="00232E9E" w:rsidRPr="002C5446">
        <w:rPr>
          <w:rFonts w:cstheme="minorHAnsi"/>
          <w:sz w:val="24"/>
          <w:szCs w:val="24"/>
        </w:rPr>
        <w:t xml:space="preserve">and news articles </w:t>
      </w:r>
      <w:r w:rsidR="001D1703" w:rsidRPr="002C5446">
        <w:rPr>
          <w:rFonts w:cstheme="minorHAnsi"/>
          <w:sz w:val="24"/>
          <w:szCs w:val="24"/>
        </w:rPr>
        <w:t xml:space="preserve">are still forthcoming about </w:t>
      </w:r>
      <w:r w:rsidR="00464019" w:rsidRPr="002C5446">
        <w:rPr>
          <w:rFonts w:cstheme="minorHAnsi"/>
          <w:sz w:val="24"/>
          <w:szCs w:val="24"/>
        </w:rPr>
        <w:t xml:space="preserve">ageism and the pandemic (e.g. </w:t>
      </w:r>
      <w:proofErr w:type="spellStart"/>
      <w:r w:rsidR="00464019" w:rsidRPr="002C5446">
        <w:rPr>
          <w:rFonts w:cstheme="minorHAnsi"/>
          <w:sz w:val="24"/>
          <w:szCs w:val="24"/>
        </w:rPr>
        <w:t>Bowdish</w:t>
      </w:r>
      <w:proofErr w:type="spellEnd"/>
      <w:r w:rsidR="00464019" w:rsidRPr="002C5446">
        <w:rPr>
          <w:rFonts w:cstheme="minorHAnsi"/>
          <w:sz w:val="24"/>
          <w:szCs w:val="24"/>
        </w:rPr>
        <w:t xml:space="preserve">, 2023; </w:t>
      </w:r>
      <w:proofErr w:type="spellStart"/>
      <w:r w:rsidR="00232E9E" w:rsidRPr="002C5446">
        <w:rPr>
          <w:rFonts w:cstheme="minorHAnsi"/>
          <w:sz w:val="24"/>
          <w:szCs w:val="24"/>
        </w:rPr>
        <w:t>Scheirber</w:t>
      </w:r>
      <w:proofErr w:type="spellEnd"/>
      <w:r w:rsidR="00232E9E" w:rsidRPr="002C5446">
        <w:rPr>
          <w:rFonts w:cstheme="minorHAnsi"/>
          <w:sz w:val="24"/>
          <w:szCs w:val="24"/>
        </w:rPr>
        <w:t xml:space="preserve">, 2022). </w:t>
      </w:r>
      <w:r w:rsidR="0018276F" w:rsidRPr="002C5446">
        <w:rPr>
          <w:rFonts w:eastAsia="Arial" w:cstheme="minorHAnsi"/>
          <w:sz w:val="24"/>
          <w:szCs w:val="24"/>
        </w:rPr>
        <w:t>The way in which ageism intersects with a lack of voice, choice, and control by older people is a key theme within the</w:t>
      </w:r>
      <w:r w:rsidR="006B0AD3" w:rsidRPr="002C5446">
        <w:rPr>
          <w:rFonts w:eastAsia="Arial" w:cstheme="minorHAnsi"/>
          <w:sz w:val="24"/>
          <w:szCs w:val="24"/>
        </w:rPr>
        <w:t xml:space="preserve"> paper</w:t>
      </w:r>
      <w:r w:rsidR="0018276F" w:rsidRPr="002C5446">
        <w:rPr>
          <w:rFonts w:eastAsia="Arial" w:cstheme="minorHAnsi"/>
          <w:sz w:val="24"/>
          <w:szCs w:val="24"/>
        </w:rPr>
        <w:t>s</w:t>
      </w:r>
      <w:r w:rsidR="006B0AD3" w:rsidRPr="002C5446">
        <w:rPr>
          <w:rFonts w:eastAsia="Arial" w:cstheme="minorHAnsi"/>
          <w:sz w:val="24"/>
          <w:szCs w:val="24"/>
        </w:rPr>
        <w:t xml:space="preserve"> included within this special issue</w:t>
      </w:r>
      <w:r w:rsidR="0018276F" w:rsidRPr="002C5446">
        <w:rPr>
          <w:rFonts w:eastAsia="Arial" w:cstheme="minorHAnsi"/>
          <w:sz w:val="24"/>
          <w:szCs w:val="24"/>
        </w:rPr>
        <w:t>.</w:t>
      </w:r>
    </w:p>
    <w:p w14:paraId="5D6216AA" w14:textId="255EC03D" w:rsidR="00E87D72" w:rsidRPr="002C5446" w:rsidRDefault="00BB5926" w:rsidP="002C5446">
      <w:pPr>
        <w:spacing w:after="0" w:line="240" w:lineRule="auto"/>
        <w:rPr>
          <w:rFonts w:cstheme="minorHAnsi"/>
          <w:sz w:val="24"/>
          <w:szCs w:val="24"/>
          <w:lang w:val="en-US"/>
        </w:rPr>
      </w:pPr>
      <w:r w:rsidRPr="002C5446">
        <w:rPr>
          <w:rFonts w:cstheme="minorHAnsi"/>
          <w:sz w:val="24"/>
          <w:szCs w:val="24"/>
          <w:lang w:val="en-US"/>
        </w:rPr>
        <w:t>The importance of older people’s voice</w:t>
      </w:r>
      <w:r w:rsidR="001F1B41">
        <w:rPr>
          <w:rFonts w:cstheme="minorHAnsi"/>
          <w:sz w:val="24"/>
          <w:szCs w:val="24"/>
          <w:lang w:val="en-US"/>
        </w:rPr>
        <w:t>s</w:t>
      </w:r>
      <w:r w:rsidRPr="002C5446">
        <w:rPr>
          <w:rFonts w:cstheme="minorHAnsi"/>
          <w:sz w:val="24"/>
          <w:szCs w:val="24"/>
          <w:lang w:val="en-US"/>
        </w:rPr>
        <w:t xml:space="preserve"> being heard </w:t>
      </w:r>
      <w:r w:rsidR="00D32585" w:rsidRPr="002C5446">
        <w:rPr>
          <w:rFonts w:cstheme="minorHAnsi"/>
          <w:sz w:val="24"/>
          <w:szCs w:val="24"/>
          <w:lang w:val="en-US"/>
        </w:rPr>
        <w:t xml:space="preserve">within responses to elder abuse </w:t>
      </w:r>
      <w:r w:rsidRPr="002C5446">
        <w:rPr>
          <w:rFonts w:cstheme="minorHAnsi"/>
          <w:sz w:val="24"/>
          <w:szCs w:val="24"/>
          <w:lang w:val="en-US"/>
        </w:rPr>
        <w:t xml:space="preserve">is clear from existing research, for example, Sherwood-Johnson </w:t>
      </w:r>
      <w:r w:rsidR="00EF7A83" w:rsidRPr="002C5446">
        <w:rPr>
          <w:rFonts w:cstheme="minorHAnsi"/>
          <w:sz w:val="24"/>
          <w:szCs w:val="24"/>
          <w:lang w:val="en-US"/>
        </w:rPr>
        <w:t xml:space="preserve">(2013) </w:t>
      </w:r>
      <w:r w:rsidRPr="002C5446">
        <w:rPr>
          <w:rFonts w:cstheme="minorHAnsi"/>
          <w:sz w:val="24"/>
          <w:szCs w:val="24"/>
          <w:lang w:val="en-US"/>
        </w:rPr>
        <w:t xml:space="preserve">noted that when </w:t>
      </w:r>
      <w:r w:rsidR="00286AFC" w:rsidRPr="002C5446">
        <w:rPr>
          <w:rFonts w:cstheme="minorHAnsi"/>
          <w:sz w:val="24"/>
          <w:szCs w:val="24"/>
          <w:lang w:val="en-US"/>
        </w:rPr>
        <w:t>adult safeguarding is not performed in partnership with adults at risk the process itself can be experienced as abusive</w:t>
      </w:r>
      <w:r w:rsidR="00EE3EF4" w:rsidRPr="002C5446">
        <w:rPr>
          <w:rFonts w:cstheme="minorHAnsi"/>
          <w:sz w:val="24"/>
          <w:szCs w:val="24"/>
          <w:lang w:val="en-US"/>
        </w:rPr>
        <w:t xml:space="preserve"> and Montgomery</w:t>
      </w:r>
      <w:r w:rsidR="003246E5" w:rsidRPr="002C5446">
        <w:rPr>
          <w:rFonts w:cstheme="minorHAnsi"/>
          <w:sz w:val="24"/>
          <w:szCs w:val="24"/>
          <w:lang w:val="en-US"/>
        </w:rPr>
        <w:t xml:space="preserve"> et al</w:t>
      </w:r>
      <w:r w:rsidR="00BA5849" w:rsidRPr="002C5446">
        <w:rPr>
          <w:rFonts w:cstheme="minorHAnsi"/>
          <w:sz w:val="24"/>
          <w:szCs w:val="24"/>
          <w:lang w:val="en-US"/>
        </w:rPr>
        <w:t>.</w:t>
      </w:r>
      <w:r w:rsidR="003246E5" w:rsidRPr="002C5446">
        <w:rPr>
          <w:rFonts w:cstheme="minorHAnsi"/>
          <w:sz w:val="24"/>
          <w:szCs w:val="24"/>
          <w:lang w:val="en-US"/>
        </w:rPr>
        <w:t xml:space="preserve"> (2017</w:t>
      </w:r>
      <w:r w:rsidR="00EE3EF4" w:rsidRPr="002C5446">
        <w:rPr>
          <w:rFonts w:cstheme="minorHAnsi"/>
          <w:sz w:val="24"/>
          <w:szCs w:val="24"/>
          <w:lang w:val="en-US"/>
        </w:rPr>
        <w:t xml:space="preserve">, p. 241) found that </w:t>
      </w:r>
      <w:r w:rsidR="00286AFC" w:rsidRPr="002C5446">
        <w:rPr>
          <w:rFonts w:cstheme="minorHAnsi"/>
          <w:sz w:val="24"/>
          <w:szCs w:val="24"/>
          <w:lang w:val="en-US"/>
        </w:rPr>
        <w:t>adults at risk who participated in the</w:t>
      </w:r>
      <w:r w:rsidR="00A6672D" w:rsidRPr="002C5446">
        <w:rPr>
          <w:rFonts w:cstheme="minorHAnsi"/>
          <w:sz w:val="24"/>
          <w:szCs w:val="24"/>
          <w:lang w:val="en-US"/>
        </w:rPr>
        <w:t>ir</w:t>
      </w:r>
      <w:r w:rsidR="00286AFC" w:rsidRPr="002C5446">
        <w:rPr>
          <w:rFonts w:cstheme="minorHAnsi"/>
          <w:sz w:val="24"/>
          <w:szCs w:val="24"/>
          <w:lang w:val="en-US"/>
        </w:rPr>
        <w:t xml:space="preserve"> study “identified the safeguarding process as traumatic,</w:t>
      </w:r>
      <w:r w:rsidR="0017529C" w:rsidRPr="002C5446">
        <w:rPr>
          <w:rFonts w:cstheme="minorHAnsi"/>
          <w:sz w:val="24"/>
          <w:szCs w:val="24"/>
          <w:lang w:val="en-US"/>
        </w:rPr>
        <w:t xml:space="preserve"> </w:t>
      </w:r>
      <w:r w:rsidR="00286AFC" w:rsidRPr="002C5446">
        <w:rPr>
          <w:rFonts w:cstheme="minorHAnsi"/>
          <w:sz w:val="24"/>
          <w:szCs w:val="24"/>
          <w:lang w:val="en-US"/>
        </w:rPr>
        <w:t>and suggested that the stress of involvement in the investigation process impacted on their ability to fully understand the information provided”. It is therefore crucial that adult safeguarding is undertaken in a manner that supports the full involvement of adults at risk</w:t>
      </w:r>
      <w:r w:rsidR="0017529C" w:rsidRPr="002C5446">
        <w:rPr>
          <w:rFonts w:cstheme="minorHAnsi"/>
          <w:sz w:val="24"/>
          <w:szCs w:val="24"/>
          <w:lang w:val="en-US"/>
        </w:rPr>
        <w:t xml:space="preserve"> and allows them to have voice, choice, and control within safeguarding </w:t>
      </w:r>
      <w:r w:rsidR="00C51523" w:rsidRPr="002C5446">
        <w:rPr>
          <w:rFonts w:cstheme="minorHAnsi"/>
          <w:sz w:val="24"/>
          <w:szCs w:val="24"/>
          <w:lang w:val="en-US"/>
        </w:rPr>
        <w:t>investigations</w:t>
      </w:r>
      <w:r w:rsidR="00241E7F" w:rsidRPr="002C5446">
        <w:rPr>
          <w:rFonts w:cstheme="minorHAnsi"/>
          <w:sz w:val="24"/>
          <w:szCs w:val="24"/>
          <w:lang w:val="en-US"/>
        </w:rPr>
        <w:t xml:space="preserve"> </w:t>
      </w:r>
      <w:r w:rsidR="00C51523" w:rsidRPr="002C5446">
        <w:rPr>
          <w:rFonts w:cstheme="minorHAnsi"/>
          <w:sz w:val="24"/>
          <w:szCs w:val="24"/>
          <w:lang w:val="en-US"/>
        </w:rPr>
        <w:t>and decision-making about possible support and protection responses</w:t>
      </w:r>
      <w:r w:rsidR="0017529C" w:rsidRPr="002C5446">
        <w:rPr>
          <w:rFonts w:cstheme="minorHAnsi"/>
          <w:sz w:val="24"/>
          <w:szCs w:val="24"/>
          <w:lang w:val="en-US"/>
        </w:rPr>
        <w:t>.</w:t>
      </w:r>
      <w:r w:rsidR="00286AFC" w:rsidRPr="002C5446">
        <w:rPr>
          <w:rFonts w:cstheme="minorHAnsi"/>
          <w:sz w:val="24"/>
          <w:szCs w:val="24"/>
          <w:lang w:val="en-US"/>
        </w:rPr>
        <w:t xml:space="preserve"> </w:t>
      </w:r>
      <w:r w:rsidR="00E87D72" w:rsidRPr="002C5446">
        <w:rPr>
          <w:rFonts w:cstheme="minorHAnsi"/>
          <w:sz w:val="24"/>
          <w:szCs w:val="24"/>
          <w:lang w:val="en-US"/>
        </w:rPr>
        <w:t xml:space="preserve">There are many factors which contribute to difficulties in achieving this </w:t>
      </w:r>
      <w:r w:rsidR="00241E7F" w:rsidRPr="002C5446">
        <w:rPr>
          <w:rFonts w:cstheme="minorHAnsi"/>
          <w:sz w:val="24"/>
          <w:szCs w:val="24"/>
          <w:lang w:val="en-US"/>
        </w:rPr>
        <w:t>for older people</w:t>
      </w:r>
      <w:r w:rsidR="00A7657E" w:rsidRPr="002C5446">
        <w:rPr>
          <w:rFonts w:cstheme="minorHAnsi"/>
          <w:sz w:val="24"/>
          <w:szCs w:val="24"/>
          <w:lang w:val="en-US"/>
        </w:rPr>
        <w:t xml:space="preserve"> </w:t>
      </w:r>
      <w:r w:rsidR="00E87D72" w:rsidRPr="002C5446">
        <w:rPr>
          <w:rFonts w:cstheme="minorHAnsi"/>
          <w:sz w:val="24"/>
          <w:szCs w:val="24"/>
          <w:lang w:val="en-US"/>
        </w:rPr>
        <w:t>and the</w:t>
      </w:r>
      <w:r w:rsidR="003D34E3" w:rsidRPr="002C5446">
        <w:rPr>
          <w:rFonts w:cstheme="minorHAnsi"/>
          <w:sz w:val="24"/>
          <w:szCs w:val="24"/>
          <w:lang w:val="en-US"/>
        </w:rPr>
        <w:t xml:space="preserve"> articles within this special issue illuminate some of the challenges and opportunities that exist. </w:t>
      </w:r>
    </w:p>
    <w:p w14:paraId="39305BCE" w14:textId="77777777" w:rsidR="00846152" w:rsidRPr="002C5446" w:rsidRDefault="00846152" w:rsidP="002C5446">
      <w:pPr>
        <w:spacing w:after="0" w:line="240" w:lineRule="auto"/>
        <w:rPr>
          <w:rFonts w:cstheme="minorHAnsi"/>
          <w:sz w:val="24"/>
          <w:szCs w:val="24"/>
        </w:rPr>
      </w:pPr>
    </w:p>
    <w:p w14:paraId="7E3509E6" w14:textId="13EA5891" w:rsidR="00926E09" w:rsidRPr="002C5446" w:rsidRDefault="00707D6C" w:rsidP="002C5446">
      <w:pPr>
        <w:rPr>
          <w:rFonts w:cstheme="minorHAnsi"/>
          <w:sz w:val="24"/>
          <w:szCs w:val="24"/>
        </w:rPr>
      </w:pPr>
      <w:r w:rsidRPr="002C5446">
        <w:rPr>
          <w:rFonts w:eastAsia="Arial" w:cstheme="minorHAnsi"/>
          <w:sz w:val="24"/>
          <w:szCs w:val="24"/>
        </w:rPr>
        <w:t>The</w:t>
      </w:r>
      <w:r w:rsidR="006B0AD3" w:rsidRPr="002C5446">
        <w:rPr>
          <w:rFonts w:eastAsia="Arial" w:cstheme="minorHAnsi"/>
          <w:sz w:val="24"/>
          <w:szCs w:val="24"/>
        </w:rPr>
        <w:t xml:space="preserve"> authors</w:t>
      </w:r>
      <w:r w:rsidRPr="002C5446">
        <w:rPr>
          <w:rFonts w:eastAsia="Arial" w:cstheme="minorHAnsi"/>
          <w:sz w:val="24"/>
          <w:szCs w:val="24"/>
        </w:rPr>
        <w:t xml:space="preserve"> within this special issue</w:t>
      </w:r>
      <w:r w:rsidR="006B0AD3" w:rsidRPr="002C5446">
        <w:rPr>
          <w:rFonts w:eastAsia="Arial" w:cstheme="minorHAnsi"/>
          <w:sz w:val="24"/>
          <w:szCs w:val="24"/>
        </w:rPr>
        <w:t xml:space="preserve"> explore the different ways in which a lack of an intersectional lens in research and practice relate</w:t>
      </w:r>
      <w:r w:rsidR="00B27900">
        <w:rPr>
          <w:rFonts w:eastAsia="Arial" w:cstheme="minorHAnsi"/>
          <w:sz w:val="24"/>
          <w:szCs w:val="24"/>
        </w:rPr>
        <w:t>d</w:t>
      </w:r>
      <w:r w:rsidR="006B0AD3" w:rsidRPr="002C5446">
        <w:rPr>
          <w:rFonts w:eastAsia="Arial" w:cstheme="minorHAnsi"/>
          <w:sz w:val="24"/>
          <w:szCs w:val="24"/>
        </w:rPr>
        <w:t xml:space="preserve"> to the safeguarding of older people contributes to lack of diversity within the few older voices who are heard. For example, authors comment </w:t>
      </w:r>
      <w:r w:rsidR="005F32E3" w:rsidRPr="002C5446">
        <w:rPr>
          <w:rFonts w:eastAsia="Arial" w:cstheme="minorHAnsi"/>
          <w:sz w:val="24"/>
          <w:szCs w:val="24"/>
        </w:rPr>
        <w:t xml:space="preserve">on </w:t>
      </w:r>
      <w:r w:rsidRPr="002C5446">
        <w:rPr>
          <w:rFonts w:eastAsia="Arial" w:cstheme="minorHAnsi"/>
          <w:sz w:val="24"/>
          <w:szCs w:val="24"/>
        </w:rPr>
        <w:t xml:space="preserve">the </w:t>
      </w:r>
      <w:r w:rsidR="000C73AF" w:rsidRPr="002C5446">
        <w:rPr>
          <w:rFonts w:eastAsia="Arial" w:cstheme="minorHAnsi"/>
          <w:sz w:val="24"/>
          <w:szCs w:val="24"/>
        </w:rPr>
        <w:t xml:space="preserve">current advances and challenges within the policy frameworks for elder abuse, </w:t>
      </w:r>
      <w:r w:rsidR="000143E3" w:rsidRPr="002C5446">
        <w:rPr>
          <w:rFonts w:eastAsia="Arial" w:cstheme="minorHAnsi"/>
          <w:sz w:val="24"/>
          <w:szCs w:val="24"/>
        </w:rPr>
        <w:t xml:space="preserve">the </w:t>
      </w:r>
      <w:r w:rsidRPr="002C5446">
        <w:rPr>
          <w:rFonts w:eastAsia="Arial" w:cstheme="minorHAnsi"/>
          <w:sz w:val="24"/>
          <w:szCs w:val="24"/>
        </w:rPr>
        <w:t xml:space="preserve">need for a human rights convention for older people, </w:t>
      </w:r>
      <w:r w:rsidR="005F32E3" w:rsidRPr="002C5446">
        <w:rPr>
          <w:rFonts w:eastAsia="Arial" w:cstheme="minorHAnsi"/>
          <w:sz w:val="24"/>
          <w:szCs w:val="24"/>
        </w:rPr>
        <w:t>on lack of LGBT* voices,</w:t>
      </w:r>
      <w:r w:rsidR="003F78A7" w:rsidRPr="002C5446">
        <w:rPr>
          <w:rFonts w:eastAsia="Arial" w:cstheme="minorHAnsi"/>
          <w:sz w:val="24"/>
          <w:szCs w:val="24"/>
        </w:rPr>
        <w:t xml:space="preserve"> and highlight tensions between </w:t>
      </w:r>
      <w:r w:rsidR="00C14F2D" w:rsidRPr="002C5446">
        <w:rPr>
          <w:rFonts w:eastAsia="Arial" w:cstheme="minorHAnsi"/>
          <w:sz w:val="24"/>
          <w:szCs w:val="24"/>
        </w:rPr>
        <w:t xml:space="preserve">different conceptual understandings of abuse in later life. </w:t>
      </w:r>
      <w:r w:rsidR="003760EA" w:rsidRPr="002C5446">
        <w:rPr>
          <w:rFonts w:eastAsia="Arial" w:cstheme="minorHAnsi"/>
          <w:sz w:val="24"/>
          <w:szCs w:val="24"/>
        </w:rPr>
        <w:t>The need for an over</w:t>
      </w:r>
      <w:r w:rsidR="000143E3" w:rsidRPr="002C5446">
        <w:rPr>
          <w:rFonts w:eastAsia="Arial" w:cstheme="minorHAnsi"/>
          <w:sz w:val="24"/>
          <w:szCs w:val="24"/>
        </w:rPr>
        <w:t xml:space="preserve">arching theoretical framework that is informed by intersectional risk factors is outlined and practice examples and challenges are </w:t>
      </w:r>
      <w:r w:rsidR="00640617" w:rsidRPr="002C5446">
        <w:rPr>
          <w:rFonts w:eastAsia="Arial" w:cstheme="minorHAnsi"/>
          <w:sz w:val="24"/>
          <w:szCs w:val="24"/>
        </w:rPr>
        <w:t xml:space="preserve">explored. </w:t>
      </w:r>
      <w:r w:rsidR="00631181" w:rsidRPr="002C5446">
        <w:rPr>
          <w:rFonts w:cstheme="minorHAnsi"/>
          <w:sz w:val="24"/>
          <w:szCs w:val="24"/>
        </w:rPr>
        <w:t xml:space="preserve">There are clearly important gaps </w:t>
      </w:r>
      <w:r w:rsidR="00241E7F" w:rsidRPr="002C5446">
        <w:rPr>
          <w:rFonts w:cstheme="minorHAnsi"/>
          <w:sz w:val="24"/>
          <w:szCs w:val="24"/>
        </w:rPr>
        <w:t xml:space="preserve">in research and practice </w:t>
      </w:r>
      <w:r w:rsidR="00631181" w:rsidRPr="002C5446">
        <w:rPr>
          <w:rFonts w:cstheme="minorHAnsi"/>
          <w:sz w:val="24"/>
          <w:szCs w:val="24"/>
        </w:rPr>
        <w:t xml:space="preserve">that need to be addressed </w:t>
      </w:r>
      <w:r w:rsidR="00BF0BFD" w:rsidRPr="002C5446">
        <w:rPr>
          <w:rFonts w:cstheme="minorHAnsi"/>
          <w:sz w:val="24"/>
          <w:szCs w:val="24"/>
        </w:rPr>
        <w:t>for</w:t>
      </w:r>
      <w:r w:rsidR="00631181" w:rsidRPr="002C5446">
        <w:rPr>
          <w:rFonts w:cstheme="minorHAnsi"/>
          <w:sz w:val="24"/>
          <w:szCs w:val="24"/>
        </w:rPr>
        <w:t xml:space="preserve"> adult safeguarding </w:t>
      </w:r>
      <w:r w:rsidR="00F26C51" w:rsidRPr="002C5446">
        <w:rPr>
          <w:rFonts w:cstheme="minorHAnsi"/>
          <w:sz w:val="24"/>
          <w:szCs w:val="24"/>
        </w:rPr>
        <w:t>to meet the needs of older people. The papers in this issue each explore the concepts of voice, choice, and control for older people in adult safeguarding through a range of different approaches and perspectives</w:t>
      </w:r>
      <w:r w:rsidR="00241E7F" w:rsidRPr="002C5446">
        <w:rPr>
          <w:rFonts w:cstheme="minorHAnsi"/>
          <w:sz w:val="24"/>
          <w:szCs w:val="24"/>
        </w:rPr>
        <w:t xml:space="preserve"> and suggest ways forward</w:t>
      </w:r>
      <w:r w:rsidR="009411C1" w:rsidRPr="002C5446">
        <w:rPr>
          <w:rFonts w:cstheme="minorHAnsi"/>
          <w:sz w:val="24"/>
          <w:szCs w:val="24"/>
        </w:rPr>
        <w:t xml:space="preserve"> for practice, policy, and service provision.</w:t>
      </w:r>
    </w:p>
    <w:p w14:paraId="1D014B1E" w14:textId="601D6BA1" w:rsidR="00F30635" w:rsidRPr="002C5446" w:rsidRDefault="00F30635" w:rsidP="002C5446">
      <w:pPr>
        <w:rPr>
          <w:rFonts w:cstheme="minorHAnsi"/>
          <w:sz w:val="24"/>
          <w:szCs w:val="24"/>
        </w:rPr>
      </w:pPr>
      <w:r w:rsidRPr="002C5446">
        <w:rPr>
          <w:rFonts w:cstheme="minorHAnsi"/>
          <w:sz w:val="24"/>
          <w:szCs w:val="24"/>
        </w:rPr>
        <w:t xml:space="preserve">The </w:t>
      </w:r>
      <w:r w:rsidR="008B54FC" w:rsidRPr="002C5446">
        <w:rPr>
          <w:rFonts w:cstheme="minorHAnsi"/>
          <w:sz w:val="24"/>
          <w:szCs w:val="24"/>
        </w:rPr>
        <w:t>first</w:t>
      </w:r>
      <w:r w:rsidR="004B4749" w:rsidRPr="002C5446">
        <w:rPr>
          <w:rFonts w:cstheme="minorHAnsi"/>
          <w:sz w:val="24"/>
          <w:szCs w:val="24"/>
        </w:rPr>
        <w:t xml:space="preserve"> </w:t>
      </w:r>
      <w:r w:rsidRPr="002C5446">
        <w:rPr>
          <w:rFonts w:cstheme="minorHAnsi"/>
          <w:sz w:val="24"/>
          <w:szCs w:val="24"/>
        </w:rPr>
        <w:t>paper</w:t>
      </w:r>
      <w:r w:rsidR="001B0328" w:rsidRPr="002C5446">
        <w:rPr>
          <w:rFonts w:cstheme="minorHAnsi"/>
          <w:sz w:val="24"/>
          <w:szCs w:val="24"/>
        </w:rPr>
        <w:t xml:space="preserve"> in this special issue</w:t>
      </w:r>
      <w:r w:rsidRPr="002C5446">
        <w:rPr>
          <w:rFonts w:cstheme="minorHAnsi"/>
          <w:sz w:val="24"/>
          <w:szCs w:val="24"/>
        </w:rPr>
        <w:t>,</w:t>
      </w:r>
      <w:r w:rsidR="00457A23" w:rsidRPr="002C5446">
        <w:rPr>
          <w:rFonts w:cstheme="minorHAnsi"/>
          <w:sz w:val="24"/>
          <w:szCs w:val="24"/>
        </w:rPr>
        <w:t xml:space="preserve"> titled ‘</w:t>
      </w:r>
      <w:bookmarkStart w:id="0" w:name="_Hlk134000160"/>
      <w:r w:rsidR="00457A23" w:rsidRPr="002C5446">
        <w:rPr>
          <w:rFonts w:cstheme="minorHAnsi"/>
          <w:sz w:val="24"/>
          <w:szCs w:val="24"/>
        </w:rPr>
        <w:t xml:space="preserve">Human Rights and Older People – process and </w:t>
      </w:r>
      <w:r w:rsidR="001B0328" w:rsidRPr="002C5446">
        <w:rPr>
          <w:rFonts w:cstheme="minorHAnsi"/>
          <w:sz w:val="24"/>
          <w:szCs w:val="24"/>
        </w:rPr>
        <w:t>perspectives</w:t>
      </w:r>
      <w:bookmarkEnd w:id="0"/>
      <w:r w:rsidR="00457A23" w:rsidRPr="002C5446">
        <w:rPr>
          <w:rFonts w:cstheme="minorHAnsi"/>
          <w:sz w:val="24"/>
          <w:szCs w:val="24"/>
        </w:rPr>
        <w:t>’</w:t>
      </w:r>
      <w:r w:rsidR="001B0328" w:rsidRPr="002C5446">
        <w:rPr>
          <w:rFonts w:cstheme="minorHAnsi"/>
          <w:sz w:val="24"/>
          <w:szCs w:val="24"/>
        </w:rPr>
        <w:t xml:space="preserve"> and</w:t>
      </w:r>
      <w:r w:rsidRPr="002C5446">
        <w:rPr>
          <w:rFonts w:cstheme="minorHAnsi"/>
          <w:sz w:val="24"/>
          <w:szCs w:val="24"/>
        </w:rPr>
        <w:t xml:space="preserve"> authored by Bridget Penhale</w:t>
      </w:r>
      <w:r w:rsidR="00CB4B5C" w:rsidRPr="002C5446">
        <w:rPr>
          <w:rFonts w:cstheme="minorHAnsi"/>
          <w:sz w:val="24"/>
          <w:szCs w:val="24"/>
        </w:rPr>
        <w:t>,</w:t>
      </w:r>
      <w:r w:rsidRPr="002C5446">
        <w:rPr>
          <w:rFonts w:cstheme="minorHAnsi"/>
          <w:sz w:val="24"/>
          <w:szCs w:val="24"/>
        </w:rPr>
        <w:t xml:space="preserve"> </w:t>
      </w:r>
      <w:r w:rsidR="006D57DD" w:rsidRPr="002C5446">
        <w:rPr>
          <w:rFonts w:cstheme="minorHAnsi"/>
          <w:sz w:val="24"/>
          <w:szCs w:val="24"/>
        </w:rPr>
        <w:t xml:space="preserve">lays out the importance of, and need for, a human rights framework </w:t>
      </w:r>
      <w:r w:rsidR="003A1B2B" w:rsidRPr="002C5446">
        <w:rPr>
          <w:rFonts w:cstheme="minorHAnsi"/>
          <w:sz w:val="24"/>
          <w:szCs w:val="24"/>
        </w:rPr>
        <w:t>for</w:t>
      </w:r>
      <w:r w:rsidR="006D57DD" w:rsidRPr="002C5446">
        <w:rPr>
          <w:rFonts w:cstheme="minorHAnsi"/>
          <w:sz w:val="24"/>
          <w:szCs w:val="24"/>
        </w:rPr>
        <w:t xml:space="preserve"> older people. </w:t>
      </w:r>
      <w:r w:rsidR="00B15648" w:rsidRPr="002C5446">
        <w:rPr>
          <w:rFonts w:cstheme="minorHAnsi"/>
          <w:sz w:val="24"/>
          <w:szCs w:val="24"/>
        </w:rPr>
        <w:t>The argument is made</w:t>
      </w:r>
      <w:r w:rsidR="00E56597" w:rsidRPr="002C5446">
        <w:rPr>
          <w:rFonts w:cstheme="minorHAnsi"/>
          <w:sz w:val="24"/>
          <w:szCs w:val="24"/>
        </w:rPr>
        <w:t xml:space="preserve"> that </w:t>
      </w:r>
      <w:r w:rsidR="00E04597" w:rsidRPr="002C5446">
        <w:rPr>
          <w:rFonts w:cstheme="minorHAnsi"/>
          <w:sz w:val="24"/>
          <w:szCs w:val="24"/>
        </w:rPr>
        <w:t xml:space="preserve">older people </w:t>
      </w:r>
      <w:r w:rsidR="00BC1FC0" w:rsidRPr="002C5446">
        <w:rPr>
          <w:rFonts w:cstheme="minorHAnsi"/>
          <w:sz w:val="24"/>
          <w:szCs w:val="24"/>
        </w:rPr>
        <w:t xml:space="preserve">often </w:t>
      </w:r>
      <w:r w:rsidR="00BC1FC0" w:rsidRPr="002C5446">
        <w:rPr>
          <w:rFonts w:cstheme="minorHAnsi"/>
          <w:sz w:val="24"/>
          <w:szCs w:val="24"/>
        </w:rPr>
        <w:lastRenderedPageBreak/>
        <w:t>experience intersecting issues and multiple forms of discriminatio</w:t>
      </w:r>
      <w:r w:rsidR="00616E77" w:rsidRPr="002C5446">
        <w:rPr>
          <w:rFonts w:cstheme="minorHAnsi"/>
          <w:sz w:val="24"/>
          <w:szCs w:val="24"/>
        </w:rPr>
        <w:t xml:space="preserve">n. This </w:t>
      </w:r>
      <w:r w:rsidR="00B30626" w:rsidRPr="002C5446">
        <w:rPr>
          <w:rFonts w:cstheme="minorHAnsi"/>
          <w:sz w:val="24"/>
          <w:szCs w:val="24"/>
        </w:rPr>
        <w:t>policy</w:t>
      </w:r>
      <w:r w:rsidR="00616E77" w:rsidRPr="002C5446">
        <w:rPr>
          <w:rFonts w:cstheme="minorHAnsi"/>
          <w:sz w:val="24"/>
          <w:szCs w:val="24"/>
        </w:rPr>
        <w:t xml:space="preserve"> paper outlines</w:t>
      </w:r>
      <w:r w:rsidR="00EC2CBA" w:rsidRPr="002C5446">
        <w:rPr>
          <w:rFonts w:cstheme="minorHAnsi"/>
          <w:sz w:val="24"/>
          <w:szCs w:val="24"/>
        </w:rPr>
        <w:t xml:space="preserve"> </w:t>
      </w:r>
      <w:r w:rsidR="00616E77" w:rsidRPr="002C5446">
        <w:rPr>
          <w:rFonts w:cstheme="minorHAnsi"/>
          <w:sz w:val="24"/>
          <w:szCs w:val="24"/>
        </w:rPr>
        <w:t>the</w:t>
      </w:r>
      <w:r w:rsidR="00551DCF" w:rsidRPr="002C5446">
        <w:rPr>
          <w:rFonts w:cstheme="minorHAnsi"/>
          <w:sz w:val="24"/>
          <w:szCs w:val="24"/>
        </w:rPr>
        <w:t xml:space="preserve"> arguments for creating such a framework</w:t>
      </w:r>
      <w:r w:rsidR="00034C4F" w:rsidRPr="002C5446">
        <w:rPr>
          <w:rFonts w:cstheme="minorHAnsi"/>
          <w:sz w:val="24"/>
          <w:szCs w:val="24"/>
        </w:rPr>
        <w:t>, as well as the developments that have already taken place towards achieving this</w:t>
      </w:r>
      <w:r w:rsidR="006E243A" w:rsidRPr="002C5446">
        <w:rPr>
          <w:rFonts w:cstheme="minorHAnsi"/>
          <w:sz w:val="24"/>
          <w:szCs w:val="24"/>
        </w:rPr>
        <w:t xml:space="preserve"> and some of the barriers</w:t>
      </w:r>
      <w:r w:rsidR="00417938" w:rsidRPr="002C5446">
        <w:rPr>
          <w:rFonts w:cstheme="minorHAnsi"/>
          <w:sz w:val="24"/>
          <w:szCs w:val="24"/>
        </w:rPr>
        <w:t>,</w:t>
      </w:r>
      <w:r w:rsidR="006E243A" w:rsidRPr="002C5446">
        <w:rPr>
          <w:rFonts w:cstheme="minorHAnsi"/>
          <w:sz w:val="24"/>
          <w:szCs w:val="24"/>
        </w:rPr>
        <w:t xml:space="preserve"> including institutional and </w:t>
      </w:r>
      <w:r w:rsidR="00106BBA" w:rsidRPr="002C5446">
        <w:rPr>
          <w:rFonts w:cstheme="minorHAnsi"/>
          <w:sz w:val="24"/>
          <w:szCs w:val="24"/>
        </w:rPr>
        <w:t xml:space="preserve">individual ageism. </w:t>
      </w:r>
    </w:p>
    <w:p w14:paraId="52CE0027" w14:textId="17B1BB52" w:rsidR="00417938" w:rsidRPr="002C5446" w:rsidRDefault="00417938" w:rsidP="002C5446">
      <w:pPr>
        <w:rPr>
          <w:rFonts w:cstheme="minorHAnsi"/>
          <w:sz w:val="24"/>
          <w:szCs w:val="24"/>
        </w:rPr>
      </w:pPr>
      <w:r w:rsidRPr="002C5446">
        <w:rPr>
          <w:rFonts w:cstheme="minorHAnsi"/>
          <w:sz w:val="24"/>
          <w:szCs w:val="24"/>
        </w:rPr>
        <w:t xml:space="preserve">Amanda Phelan’s </w:t>
      </w:r>
      <w:r w:rsidR="00DE60FC" w:rsidRPr="002C5446">
        <w:rPr>
          <w:rFonts w:cstheme="minorHAnsi"/>
          <w:sz w:val="24"/>
          <w:szCs w:val="24"/>
        </w:rPr>
        <w:t xml:space="preserve">practice </w:t>
      </w:r>
      <w:r w:rsidRPr="002C5446">
        <w:rPr>
          <w:rFonts w:cstheme="minorHAnsi"/>
          <w:sz w:val="24"/>
          <w:szCs w:val="24"/>
        </w:rPr>
        <w:t>paper, title</w:t>
      </w:r>
      <w:r w:rsidR="006F3754" w:rsidRPr="002C5446">
        <w:rPr>
          <w:rFonts w:cstheme="minorHAnsi"/>
          <w:sz w:val="24"/>
          <w:szCs w:val="24"/>
        </w:rPr>
        <w:t>d</w:t>
      </w:r>
      <w:r w:rsidRPr="002C5446">
        <w:rPr>
          <w:rFonts w:cstheme="minorHAnsi"/>
          <w:sz w:val="24"/>
          <w:szCs w:val="24"/>
        </w:rPr>
        <w:t xml:space="preserve"> </w:t>
      </w:r>
      <w:r w:rsidR="006F3754" w:rsidRPr="002C5446">
        <w:rPr>
          <w:rFonts w:cstheme="minorHAnsi"/>
          <w:sz w:val="24"/>
          <w:szCs w:val="24"/>
        </w:rPr>
        <w:t>‘</w:t>
      </w:r>
      <w:r w:rsidRPr="002C5446">
        <w:rPr>
          <w:rFonts w:cstheme="minorHAnsi"/>
          <w:sz w:val="24"/>
          <w:szCs w:val="24"/>
        </w:rPr>
        <w:t>Adult Safeguarding: An Irish Perspective’</w:t>
      </w:r>
      <w:r w:rsidR="00DE60FC" w:rsidRPr="002C5446">
        <w:rPr>
          <w:rFonts w:cstheme="minorHAnsi"/>
          <w:sz w:val="24"/>
          <w:szCs w:val="24"/>
        </w:rPr>
        <w:t>,</w:t>
      </w:r>
      <w:r w:rsidRPr="002C5446">
        <w:rPr>
          <w:rFonts w:cstheme="minorHAnsi"/>
          <w:sz w:val="24"/>
          <w:szCs w:val="24"/>
        </w:rPr>
        <w:t xml:space="preserve"> critically reviews the context of adult safeguarding in Ireland. Gaps in provision are identified, including the ‘vacuum’ in legislation around the rights of older people and adult safeguarding. </w:t>
      </w:r>
      <w:r w:rsidR="00B15648" w:rsidRPr="002C5446">
        <w:rPr>
          <w:rFonts w:cstheme="minorHAnsi"/>
          <w:sz w:val="24"/>
          <w:szCs w:val="24"/>
        </w:rPr>
        <w:t>The paper</w:t>
      </w:r>
      <w:r w:rsidRPr="002C5446">
        <w:rPr>
          <w:rFonts w:cstheme="minorHAnsi"/>
          <w:sz w:val="24"/>
          <w:szCs w:val="24"/>
        </w:rPr>
        <w:t xml:space="preserve"> highlights the need to maximise self-determination and collaborative approaches to ensure the prioritisation of older people’s voice, choice, and control within adult safeguarding.</w:t>
      </w:r>
    </w:p>
    <w:p w14:paraId="475E32FA" w14:textId="6B211A22" w:rsidR="008B54FC" w:rsidRPr="002C5446" w:rsidRDefault="008B54FC" w:rsidP="002C5446">
      <w:pPr>
        <w:rPr>
          <w:rFonts w:cstheme="minorHAnsi"/>
          <w:sz w:val="24"/>
          <w:szCs w:val="24"/>
        </w:rPr>
      </w:pPr>
      <w:r w:rsidRPr="002C5446">
        <w:rPr>
          <w:rFonts w:cstheme="minorHAnsi"/>
          <w:sz w:val="24"/>
          <w:szCs w:val="24"/>
        </w:rPr>
        <w:t xml:space="preserve">The third paper, titled ‘Participatory Rights of Older Adults in Adult Protection Case Conferences’ and written by Kate Fennel, draws on the author’s practice experience to challenge the exclusion of older people from adult protection case conferences. This practice paper is situated within the Scottish legislative context and the author utilises case scenarios from an amalgamation of practice situations to draw out and discuss the participatory principles of the Adult Support and Protection (Scotland) Act 2007. Key areas which impact on the ability to enact participatory principles in practice are drawn out through the discussion. </w:t>
      </w:r>
    </w:p>
    <w:p w14:paraId="2C9457C3" w14:textId="7531125F" w:rsidR="006F3754" w:rsidRPr="002C5446" w:rsidRDefault="00CA04AA" w:rsidP="002C5446">
      <w:pPr>
        <w:rPr>
          <w:rFonts w:cstheme="minorHAnsi"/>
          <w:sz w:val="24"/>
          <w:szCs w:val="24"/>
        </w:rPr>
      </w:pPr>
      <w:r w:rsidRPr="002C5446">
        <w:rPr>
          <w:rFonts w:cstheme="minorHAnsi"/>
          <w:sz w:val="24"/>
          <w:szCs w:val="24"/>
        </w:rPr>
        <w:t>This is followed by</w:t>
      </w:r>
      <w:r w:rsidR="006F3754" w:rsidRPr="002C5446">
        <w:rPr>
          <w:rFonts w:cstheme="minorHAnsi"/>
          <w:sz w:val="24"/>
          <w:szCs w:val="24"/>
        </w:rPr>
        <w:t xml:space="preserve"> Alisoun Milne’s paper, titled ‘Older Women and Domestic Abuse: Through a glass darkly’, </w:t>
      </w:r>
      <w:r w:rsidR="008D4328" w:rsidRPr="002C5446">
        <w:rPr>
          <w:rFonts w:cstheme="minorHAnsi"/>
          <w:sz w:val="24"/>
          <w:szCs w:val="24"/>
        </w:rPr>
        <w:t xml:space="preserve">which </w:t>
      </w:r>
      <w:r w:rsidR="006F3754" w:rsidRPr="002C5446">
        <w:rPr>
          <w:rFonts w:cstheme="minorHAnsi"/>
          <w:sz w:val="24"/>
          <w:szCs w:val="24"/>
        </w:rPr>
        <w:t xml:space="preserve">focuses on the domestic abuse of older women and </w:t>
      </w:r>
      <w:r w:rsidR="00BA6EB6" w:rsidRPr="002C5446">
        <w:rPr>
          <w:rFonts w:cstheme="minorHAnsi"/>
          <w:sz w:val="24"/>
          <w:szCs w:val="24"/>
        </w:rPr>
        <w:t>highlights</w:t>
      </w:r>
      <w:r w:rsidR="006F3754" w:rsidRPr="002C5446">
        <w:rPr>
          <w:rFonts w:cstheme="minorHAnsi"/>
          <w:sz w:val="24"/>
          <w:szCs w:val="24"/>
        </w:rPr>
        <w:t xml:space="preserve"> </w:t>
      </w:r>
      <w:r w:rsidR="00F12F5A" w:rsidRPr="002C5446">
        <w:rPr>
          <w:rFonts w:cstheme="minorHAnsi"/>
          <w:sz w:val="24"/>
          <w:szCs w:val="24"/>
        </w:rPr>
        <w:t>s</w:t>
      </w:r>
      <w:r w:rsidR="006F3754" w:rsidRPr="002C5446">
        <w:rPr>
          <w:rFonts w:cstheme="minorHAnsi"/>
          <w:sz w:val="24"/>
          <w:szCs w:val="24"/>
        </w:rPr>
        <w:t xml:space="preserve">ome of the conceptual tensions that link to this topic, as well as exploring the impact on the health and wellbeing of older women who experience this type of abuse. </w:t>
      </w:r>
      <w:r w:rsidR="00BA6EB6" w:rsidRPr="002C5446">
        <w:rPr>
          <w:rFonts w:cstheme="minorHAnsi"/>
          <w:sz w:val="24"/>
          <w:szCs w:val="24"/>
        </w:rPr>
        <w:t>The paper</w:t>
      </w:r>
      <w:r w:rsidR="006F3754" w:rsidRPr="002C5446">
        <w:rPr>
          <w:rFonts w:cstheme="minorHAnsi"/>
          <w:sz w:val="24"/>
          <w:szCs w:val="24"/>
        </w:rPr>
        <w:t xml:space="preserve"> draws attention to this ‘hidden phenomenon’, citing structural age discrimination as a key contributing factor to this invisibility. The way in which work on elder abuse and domestic abuse has developed is also explored. This discussion is used to illustrate the importance of how abuse perpetrated against older women is conceptualised in terms of its impact on research, policy, and practice.</w:t>
      </w:r>
    </w:p>
    <w:p w14:paraId="0439FB7A" w14:textId="2A5130D2" w:rsidR="00417938" w:rsidRPr="002C5446" w:rsidRDefault="00417938" w:rsidP="002C5446">
      <w:pPr>
        <w:rPr>
          <w:rFonts w:cstheme="minorHAnsi"/>
          <w:sz w:val="24"/>
          <w:szCs w:val="24"/>
        </w:rPr>
      </w:pPr>
      <w:r w:rsidRPr="002C5446">
        <w:rPr>
          <w:rFonts w:cstheme="minorHAnsi"/>
          <w:sz w:val="24"/>
          <w:szCs w:val="24"/>
        </w:rPr>
        <w:t xml:space="preserve">The </w:t>
      </w:r>
      <w:r w:rsidR="006F3754" w:rsidRPr="002C5446">
        <w:rPr>
          <w:rFonts w:cstheme="minorHAnsi"/>
          <w:sz w:val="24"/>
          <w:szCs w:val="24"/>
        </w:rPr>
        <w:t>fifth</w:t>
      </w:r>
      <w:r w:rsidRPr="002C5446">
        <w:rPr>
          <w:rFonts w:cstheme="minorHAnsi"/>
          <w:sz w:val="24"/>
          <w:szCs w:val="24"/>
        </w:rPr>
        <w:t xml:space="preserve"> paper, co-authored by Fiona </w:t>
      </w:r>
      <w:proofErr w:type="spellStart"/>
      <w:r w:rsidRPr="002C5446">
        <w:rPr>
          <w:rFonts w:cstheme="minorHAnsi"/>
          <w:sz w:val="24"/>
          <w:szCs w:val="24"/>
        </w:rPr>
        <w:t>Sherwoord</w:t>
      </w:r>
      <w:proofErr w:type="spellEnd"/>
      <w:r w:rsidRPr="002C5446">
        <w:rPr>
          <w:rFonts w:cstheme="minorHAnsi"/>
          <w:sz w:val="24"/>
          <w:szCs w:val="24"/>
        </w:rPr>
        <w:t xml:space="preserve">-Johnson, Kirstein </w:t>
      </w:r>
      <w:proofErr w:type="spellStart"/>
      <w:r w:rsidRPr="002C5446">
        <w:rPr>
          <w:rFonts w:cstheme="minorHAnsi"/>
          <w:sz w:val="24"/>
          <w:szCs w:val="24"/>
        </w:rPr>
        <w:t>Rumery</w:t>
      </w:r>
      <w:proofErr w:type="spellEnd"/>
      <w:r w:rsidRPr="002C5446">
        <w:rPr>
          <w:rFonts w:cstheme="minorHAnsi"/>
          <w:sz w:val="24"/>
          <w:szCs w:val="24"/>
        </w:rPr>
        <w:t>, Julia Lawrence, Kathryn Mackay, Kathryn Ramsay, and Rebecca McGregor, titled ‘Dangerous Care: developing theory to safeguard adults in caring relationships in the UK’, explores abuse which takes place within caring relationships. Th</w:t>
      </w:r>
      <w:r w:rsidR="004153C0" w:rsidRPr="002C5446">
        <w:rPr>
          <w:rFonts w:cstheme="minorHAnsi"/>
          <w:sz w:val="24"/>
          <w:szCs w:val="24"/>
        </w:rPr>
        <w:t xml:space="preserve">is </w:t>
      </w:r>
      <w:r w:rsidRPr="002C5446">
        <w:rPr>
          <w:rFonts w:cstheme="minorHAnsi"/>
          <w:sz w:val="24"/>
          <w:szCs w:val="24"/>
        </w:rPr>
        <w:t>paper uses the term ‘dangerous care’ to refer to abuse or harm that takes place between disabled people and carers in family or intimate relationships. Within the paper the authors explore and discuss the social and structural factors which impact on people’s ability to give and receive care</w:t>
      </w:r>
      <w:r w:rsidR="008B54FC" w:rsidRPr="002C5446">
        <w:rPr>
          <w:rFonts w:cstheme="minorHAnsi"/>
          <w:sz w:val="24"/>
          <w:szCs w:val="24"/>
        </w:rPr>
        <w:t xml:space="preserve">. They </w:t>
      </w:r>
      <w:r w:rsidRPr="002C5446">
        <w:rPr>
          <w:rFonts w:cstheme="minorHAnsi"/>
          <w:sz w:val="24"/>
          <w:szCs w:val="24"/>
        </w:rPr>
        <w:t>argue for the need to use a co-production approach to develop responses that enable older people to have greater control in reducing or removing dangerous care in their lives.</w:t>
      </w:r>
    </w:p>
    <w:p w14:paraId="2F85C42E" w14:textId="1BE88C2D" w:rsidR="00F26C51" w:rsidRPr="002C5446" w:rsidRDefault="008B54FC" w:rsidP="002C5446">
      <w:pPr>
        <w:rPr>
          <w:rFonts w:cstheme="minorHAnsi"/>
          <w:sz w:val="24"/>
          <w:szCs w:val="24"/>
        </w:rPr>
      </w:pPr>
      <w:r w:rsidRPr="002C5446">
        <w:rPr>
          <w:rFonts w:cstheme="minorHAnsi"/>
          <w:sz w:val="24"/>
          <w:szCs w:val="24"/>
        </w:rPr>
        <w:t>The</w:t>
      </w:r>
      <w:r w:rsidR="006F3754" w:rsidRPr="002C5446">
        <w:rPr>
          <w:rFonts w:cstheme="minorHAnsi"/>
          <w:sz w:val="24"/>
          <w:szCs w:val="24"/>
        </w:rPr>
        <w:t xml:space="preserve"> final paper in this special issue,</w:t>
      </w:r>
      <w:r w:rsidRPr="002C5446">
        <w:rPr>
          <w:rFonts w:cstheme="minorHAnsi"/>
          <w:sz w:val="24"/>
          <w:szCs w:val="24"/>
        </w:rPr>
        <w:t xml:space="preserve"> titled ‘Making the invisible, visible: Older lesbian, gay and bisexual victim-survivors’ ‘lived experiences’ of domestic abuse</w:t>
      </w:r>
      <w:r w:rsidR="00DF3E1F" w:rsidRPr="002C5446">
        <w:rPr>
          <w:rFonts w:cstheme="minorHAnsi"/>
          <w:sz w:val="24"/>
          <w:szCs w:val="24"/>
        </w:rPr>
        <w:t>’</w:t>
      </w:r>
      <w:r w:rsidR="006F3754" w:rsidRPr="002C5446">
        <w:rPr>
          <w:rFonts w:cstheme="minorHAnsi"/>
          <w:sz w:val="24"/>
          <w:szCs w:val="24"/>
        </w:rPr>
        <w:t xml:space="preserve"> and</w:t>
      </w:r>
      <w:r w:rsidRPr="002C5446">
        <w:rPr>
          <w:rFonts w:cstheme="minorHAnsi"/>
          <w:sz w:val="24"/>
          <w:szCs w:val="24"/>
        </w:rPr>
        <w:t xml:space="preserve"> </w:t>
      </w:r>
      <w:r w:rsidR="00A8514E">
        <w:rPr>
          <w:rFonts w:cstheme="minorHAnsi"/>
          <w:sz w:val="24"/>
          <w:szCs w:val="24"/>
        </w:rPr>
        <w:t>co-</w:t>
      </w:r>
      <w:r w:rsidRPr="002C5446">
        <w:rPr>
          <w:rFonts w:cstheme="minorHAnsi"/>
          <w:sz w:val="24"/>
          <w:szCs w:val="24"/>
        </w:rPr>
        <w:t xml:space="preserve">authored by Sarah Wydall, Rebecca Zerk, and Elize Freeman draws attention to the use of co-production as a tool for promoting voice, choice, and control for older lesbian, gay, and bisexual (LGB) victim-survivors of domestic abuse. The paper introduces the co-produced ‘Do you see me?’ </w:t>
      </w:r>
      <w:r w:rsidRPr="002C5446">
        <w:rPr>
          <w:rFonts w:cstheme="minorHAnsi"/>
          <w:sz w:val="24"/>
          <w:szCs w:val="24"/>
        </w:rPr>
        <w:lastRenderedPageBreak/>
        <w:t>film which exposes the marginalisation of LGB victim-survivors and highlights experiences of coercive control from the perspectives of these people. The authors draw attention to the impact of intersecting inequality and oppression and reflect on the use of coproduction as a means of challenging the hegemony of a heteronormative and ageist lens.</w:t>
      </w:r>
    </w:p>
    <w:p w14:paraId="4821DA40" w14:textId="55BEB4D9" w:rsidR="008F69F9" w:rsidRPr="002C5446" w:rsidRDefault="008F69F9" w:rsidP="002C5446">
      <w:pPr>
        <w:rPr>
          <w:rFonts w:cstheme="minorHAnsi"/>
          <w:sz w:val="24"/>
          <w:szCs w:val="24"/>
        </w:rPr>
      </w:pPr>
    </w:p>
    <w:p w14:paraId="102CBC61" w14:textId="5BD3415E" w:rsidR="008F69F9" w:rsidRPr="00E31B40" w:rsidRDefault="008F69F9" w:rsidP="002C5446">
      <w:pPr>
        <w:rPr>
          <w:rFonts w:cstheme="minorHAnsi"/>
          <w:b/>
          <w:bCs/>
          <w:sz w:val="24"/>
          <w:szCs w:val="24"/>
        </w:rPr>
      </w:pPr>
      <w:r w:rsidRPr="00E31B40">
        <w:rPr>
          <w:rFonts w:cstheme="minorHAnsi"/>
          <w:b/>
          <w:bCs/>
          <w:sz w:val="24"/>
          <w:szCs w:val="24"/>
        </w:rPr>
        <w:t>References:</w:t>
      </w:r>
    </w:p>
    <w:p w14:paraId="6094E812" w14:textId="77777777" w:rsidR="00BB2937" w:rsidRPr="00E31B40" w:rsidRDefault="00F37555" w:rsidP="000E5F8F">
      <w:pPr>
        <w:pStyle w:val="dx-doi"/>
        <w:spacing w:before="0" w:beforeAutospacing="0" w:after="0"/>
        <w:ind w:left="720" w:hanging="720"/>
        <w:rPr>
          <w:rFonts w:asciiTheme="minorHAnsi" w:hAnsiTheme="minorHAnsi" w:cstheme="minorHAnsi"/>
        </w:rPr>
      </w:pPr>
      <w:r w:rsidRPr="00E31B40">
        <w:rPr>
          <w:rFonts w:asciiTheme="minorHAnsi" w:hAnsiTheme="minorHAnsi" w:cstheme="minorHAnsi"/>
          <w:shd w:val="clear" w:color="auto" w:fill="FFFFFF"/>
        </w:rPr>
        <w:t xml:space="preserve">Anand, J. C., Donnelly, S., Milne, A., Nelson-Becker, H., </w:t>
      </w:r>
      <w:proofErr w:type="spellStart"/>
      <w:r w:rsidRPr="00E31B40">
        <w:rPr>
          <w:rFonts w:asciiTheme="minorHAnsi" w:hAnsiTheme="minorHAnsi" w:cstheme="minorHAnsi"/>
          <w:shd w:val="clear" w:color="auto" w:fill="FFFFFF"/>
        </w:rPr>
        <w:t>Vingare</w:t>
      </w:r>
      <w:proofErr w:type="spellEnd"/>
      <w:r w:rsidRPr="00E31B40">
        <w:rPr>
          <w:rFonts w:asciiTheme="minorHAnsi" w:hAnsiTheme="minorHAnsi" w:cstheme="minorHAnsi"/>
          <w:shd w:val="clear" w:color="auto" w:fill="FFFFFF"/>
        </w:rPr>
        <w:t xml:space="preserve">, E. L., Deusdad, B., ... &amp; </w:t>
      </w:r>
      <w:proofErr w:type="spellStart"/>
      <w:r w:rsidRPr="00E31B40">
        <w:rPr>
          <w:rFonts w:asciiTheme="minorHAnsi" w:hAnsiTheme="minorHAnsi" w:cstheme="minorHAnsi"/>
          <w:shd w:val="clear" w:color="auto" w:fill="FFFFFF"/>
        </w:rPr>
        <w:t>Pregno</w:t>
      </w:r>
      <w:proofErr w:type="spellEnd"/>
      <w:r w:rsidRPr="00E31B40">
        <w:rPr>
          <w:rFonts w:asciiTheme="minorHAnsi" w:hAnsiTheme="minorHAnsi" w:cstheme="minorHAnsi"/>
          <w:shd w:val="clear" w:color="auto" w:fill="FFFFFF"/>
        </w:rPr>
        <w:t xml:space="preserve">, C. (2022). The </w:t>
      </w:r>
      <w:proofErr w:type="spellStart"/>
      <w:r w:rsidRPr="00E31B40">
        <w:rPr>
          <w:rFonts w:asciiTheme="minorHAnsi" w:hAnsiTheme="minorHAnsi" w:cstheme="minorHAnsi"/>
          <w:shd w:val="clear" w:color="auto" w:fill="FFFFFF"/>
        </w:rPr>
        <w:t>covid-19</w:t>
      </w:r>
      <w:proofErr w:type="spellEnd"/>
      <w:r w:rsidRPr="00E31B40">
        <w:rPr>
          <w:rFonts w:asciiTheme="minorHAnsi" w:hAnsiTheme="minorHAnsi" w:cstheme="minorHAnsi"/>
          <w:shd w:val="clear" w:color="auto" w:fill="FFFFFF"/>
        </w:rPr>
        <w:t xml:space="preserve"> pandemic and care homes for older people in Europe-deaths, damage and violations of human rights. </w:t>
      </w:r>
      <w:r w:rsidRPr="00E31B40">
        <w:rPr>
          <w:rFonts w:asciiTheme="minorHAnsi" w:hAnsiTheme="minorHAnsi" w:cstheme="minorHAnsi"/>
          <w:i/>
          <w:iCs/>
          <w:shd w:val="clear" w:color="auto" w:fill="FFFFFF"/>
        </w:rPr>
        <w:t>European Journal of Social Work</w:t>
      </w:r>
      <w:r w:rsidRPr="00E31B40">
        <w:rPr>
          <w:rFonts w:asciiTheme="minorHAnsi" w:hAnsiTheme="minorHAnsi" w:cstheme="minorHAnsi"/>
          <w:shd w:val="clear" w:color="auto" w:fill="FFFFFF"/>
        </w:rPr>
        <w:t>, </w:t>
      </w:r>
      <w:r w:rsidRPr="00E31B40">
        <w:rPr>
          <w:rFonts w:asciiTheme="minorHAnsi" w:hAnsiTheme="minorHAnsi" w:cstheme="minorHAnsi"/>
          <w:i/>
          <w:iCs/>
          <w:shd w:val="clear" w:color="auto" w:fill="FFFFFF"/>
        </w:rPr>
        <w:t>25</w:t>
      </w:r>
      <w:r w:rsidRPr="00E31B40">
        <w:rPr>
          <w:rFonts w:asciiTheme="minorHAnsi" w:hAnsiTheme="minorHAnsi" w:cstheme="minorHAnsi"/>
          <w:shd w:val="clear" w:color="auto" w:fill="FFFFFF"/>
        </w:rPr>
        <w:t>(5), 804-815.</w:t>
      </w:r>
      <w:r w:rsidRPr="00E31B40">
        <w:rPr>
          <w:rFonts w:asciiTheme="minorHAnsi" w:hAnsiTheme="minorHAnsi" w:cstheme="minorHAnsi"/>
        </w:rPr>
        <w:t xml:space="preserve"> </w:t>
      </w:r>
      <w:hyperlink r:id="rId9" w:history="1">
        <w:r w:rsidR="00BB2937" w:rsidRPr="00E31B40">
          <w:rPr>
            <w:rStyle w:val="Hyperlink"/>
            <w:rFonts w:asciiTheme="minorHAnsi" w:hAnsiTheme="minorHAnsi" w:cstheme="minorHAnsi"/>
            <w:color w:val="auto"/>
            <w:u w:val="none"/>
          </w:rPr>
          <w:t>https://doi.org/10.1080/13691457.2021.1954886</w:t>
        </w:r>
      </w:hyperlink>
    </w:p>
    <w:p w14:paraId="6CA63E4E" w14:textId="3C9DB0BC" w:rsidR="00F37555" w:rsidRPr="00E31B40" w:rsidRDefault="009005EC" w:rsidP="000E5F8F">
      <w:pPr>
        <w:spacing w:line="240" w:lineRule="auto"/>
        <w:ind w:left="720" w:hanging="720"/>
        <w:rPr>
          <w:rFonts w:cstheme="minorHAnsi"/>
          <w:sz w:val="24"/>
          <w:szCs w:val="24"/>
        </w:rPr>
      </w:pPr>
      <w:r w:rsidRPr="00E31B40">
        <w:rPr>
          <w:rFonts w:cstheme="minorHAnsi"/>
          <w:sz w:val="24"/>
          <w:szCs w:val="24"/>
        </w:rPr>
        <w:t xml:space="preserve">BBC (2014). Behind Closed Doors: Elderly Care Exposed. </w:t>
      </w:r>
      <w:r w:rsidRPr="00E31B40">
        <w:rPr>
          <w:rFonts w:cstheme="minorHAnsi"/>
          <w:i/>
          <w:iCs/>
          <w:sz w:val="24"/>
          <w:szCs w:val="24"/>
        </w:rPr>
        <w:t>Panorama</w:t>
      </w:r>
      <w:r w:rsidRPr="00E31B40">
        <w:rPr>
          <w:rFonts w:cstheme="minorHAnsi"/>
          <w:sz w:val="24"/>
          <w:szCs w:val="24"/>
        </w:rPr>
        <w:t xml:space="preserve">. </w:t>
      </w:r>
      <w:r w:rsidR="00233899" w:rsidRPr="00E31B40">
        <w:rPr>
          <w:rFonts w:cstheme="minorHAnsi"/>
          <w:sz w:val="24"/>
          <w:szCs w:val="24"/>
        </w:rPr>
        <w:t xml:space="preserve">BBC, </w:t>
      </w:r>
      <w:r w:rsidR="00840589" w:rsidRPr="00E31B40">
        <w:rPr>
          <w:rFonts w:cstheme="minorHAnsi"/>
          <w:sz w:val="24"/>
          <w:szCs w:val="24"/>
        </w:rPr>
        <w:t>30</w:t>
      </w:r>
      <w:r w:rsidR="00840589" w:rsidRPr="00E31B40">
        <w:rPr>
          <w:rFonts w:cstheme="minorHAnsi"/>
          <w:sz w:val="24"/>
          <w:szCs w:val="24"/>
          <w:vertAlign w:val="superscript"/>
        </w:rPr>
        <w:t>th</w:t>
      </w:r>
      <w:r w:rsidR="00840589" w:rsidRPr="00E31B40">
        <w:rPr>
          <w:rFonts w:cstheme="minorHAnsi"/>
          <w:sz w:val="24"/>
          <w:szCs w:val="24"/>
        </w:rPr>
        <w:t xml:space="preserve"> April.</w:t>
      </w:r>
    </w:p>
    <w:p w14:paraId="35325EE0" w14:textId="35629AE7" w:rsidR="0078443E" w:rsidRPr="00E31B40" w:rsidRDefault="0078443E" w:rsidP="000E5F8F">
      <w:pPr>
        <w:spacing w:line="240" w:lineRule="auto"/>
        <w:ind w:left="720" w:hanging="720"/>
        <w:rPr>
          <w:rFonts w:cstheme="minorHAnsi"/>
          <w:b/>
          <w:bCs/>
          <w:sz w:val="24"/>
          <w:szCs w:val="24"/>
        </w:rPr>
      </w:pPr>
      <w:proofErr w:type="spellStart"/>
      <w:r w:rsidRPr="00E31B40">
        <w:rPr>
          <w:rFonts w:cstheme="minorHAnsi"/>
          <w:sz w:val="24"/>
          <w:szCs w:val="24"/>
        </w:rPr>
        <w:t>Bowdish</w:t>
      </w:r>
      <w:proofErr w:type="spellEnd"/>
      <w:r w:rsidRPr="00E31B40">
        <w:rPr>
          <w:rFonts w:cstheme="minorHAnsi"/>
          <w:sz w:val="24"/>
          <w:szCs w:val="24"/>
        </w:rPr>
        <w:t xml:space="preserve">, </w:t>
      </w:r>
      <w:r w:rsidR="002C0706" w:rsidRPr="00E31B40">
        <w:rPr>
          <w:rFonts w:cstheme="minorHAnsi"/>
          <w:sz w:val="24"/>
          <w:szCs w:val="24"/>
        </w:rPr>
        <w:t>D. (</w:t>
      </w:r>
      <w:r w:rsidRPr="00E31B40">
        <w:rPr>
          <w:rFonts w:cstheme="minorHAnsi"/>
          <w:sz w:val="24"/>
          <w:szCs w:val="24"/>
        </w:rPr>
        <w:t>2023</w:t>
      </w:r>
      <w:r w:rsidR="002C0706" w:rsidRPr="00E31B40">
        <w:rPr>
          <w:rFonts w:cstheme="minorHAnsi"/>
          <w:sz w:val="24"/>
          <w:szCs w:val="24"/>
        </w:rPr>
        <w:t xml:space="preserve">). Ageism and the pandemic: How Canada continues to let older adults suffer. </w:t>
      </w:r>
      <w:r w:rsidR="000C36F5" w:rsidRPr="00E31B40">
        <w:rPr>
          <w:rFonts w:cstheme="minorHAnsi"/>
          <w:i/>
          <w:iCs/>
          <w:sz w:val="24"/>
          <w:szCs w:val="24"/>
        </w:rPr>
        <w:t>The Province,</w:t>
      </w:r>
      <w:r w:rsidR="000C36F5" w:rsidRPr="00E31B40">
        <w:rPr>
          <w:rFonts w:cstheme="minorHAnsi"/>
          <w:sz w:val="24"/>
          <w:szCs w:val="24"/>
        </w:rPr>
        <w:t xml:space="preserve"> </w:t>
      </w:r>
      <w:r w:rsidR="00D0565B" w:rsidRPr="00E31B40">
        <w:rPr>
          <w:rFonts w:cstheme="minorHAnsi"/>
          <w:sz w:val="24"/>
          <w:szCs w:val="24"/>
        </w:rPr>
        <w:t>12</w:t>
      </w:r>
      <w:r w:rsidR="00D0565B" w:rsidRPr="00E31B40">
        <w:rPr>
          <w:rFonts w:cstheme="minorHAnsi"/>
          <w:sz w:val="24"/>
          <w:szCs w:val="24"/>
          <w:vertAlign w:val="superscript"/>
        </w:rPr>
        <w:t>th</w:t>
      </w:r>
      <w:r w:rsidR="00D0565B" w:rsidRPr="00E31B40">
        <w:rPr>
          <w:rFonts w:cstheme="minorHAnsi"/>
          <w:sz w:val="24"/>
          <w:szCs w:val="24"/>
        </w:rPr>
        <w:t xml:space="preserve"> April. Available at </w:t>
      </w:r>
      <w:hyperlink r:id="rId10" w:history="1">
        <w:r w:rsidR="00F14F5F" w:rsidRPr="00E31B40">
          <w:rPr>
            <w:rStyle w:val="Hyperlink"/>
            <w:rFonts w:cstheme="minorHAnsi"/>
            <w:color w:val="auto"/>
            <w:sz w:val="24"/>
            <w:szCs w:val="24"/>
            <w:u w:val="none"/>
          </w:rPr>
          <w:t>https://theprovince.com/opinion/dawn-bowdish-ageism-and-the-pandemic-how-canada-continues-to-let-older-adults-suffer</w:t>
        </w:r>
      </w:hyperlink>
      <w:r w:rsidR="00F14F5F" w:rsidRPr="00E31B40">
        <w:rPr>
          <w:rFonts w:cstheme="minorHAnsi"/>
          <w:sz w:val="24"/>
          <w:szCs w:val="24"/>
        </w:rPr>
        <w:t xml:space="preserve"> (</w:t>
      </w:r>
      <w:r w:rsidR="00D0565B" w:rsidRPr="00E31B40">
        <w:rPr>
          <w:rFonts w:cstheme="minorHAnsi"/>
          <w:sz w:val="24"/>
          <w:szCs w:val="24"/>
        </w:rPr>
        <w:t xml:space="preserve">Accessed </w:t>
      </w:r>
      <w:r w:rsidR="00F14F5F" w:rsidRPr="00E31B40">
        <w:rPr>
          <w:rFonts w:cstheme="minorHAnsi"/>
          <w:sz w:val="24"/>
          <w:szCs w:val="24"/>
        </w:rPr>
        <w:t>24th April, 2023).</w:t>
      </w:r>
    </w:p>
    <w:p w14:paraId="52FA10F4" w14:textId="5B07C5A9" w:rsidR="00121AD3" w:rsidRPr="00E31B40" w:rsidRDefault="00D03BE8" w:rsidP="000E5F8F">
      <w:pPr>
        <w:spacing w:line="240" w:lineRule="auto"/>
        <w:ind w:left="720" w:hanging="720"/>
        <w:rPr>
          <w:rFonts w:cstheme="minorHAnsi"/>
          <w:sz w:val="24"/>
          <w:szCs w:val="24"/>
        </w:rPr>
      </w:pPr>
      <w:r w:rsidRPr="00E31B40">
        <w:rPr>
          <w:rFonts w:cstheme="minorHAnsi"/>
          <w:sz w:val="24"/>
          <w:szCs w:val="24"/>
          <w:shd w:val="clear" w:color="auto" w:fill="FFFFFF"/>
        </w:rPr>
        <w:t xml:space="preserve">Cooper C, Marston L, Barber J, Livingston D, Rapaport P, et al. (2018) Do care homes deliver person-centred care? A cross-sectional survey of staff-reported abusive and positive behaviours towards residents from the MARQUE (Managing Agitation and Raising Quality of Life) English national care home survey. </w:t>
      </w:r>
      <w:r w:rsidRPr="00E31B40">
        <w:rPr>
          <w:rFonts w:cstheme="minorHAnsi"/>
          <w:i/>
          <w:iCs/>
          <w:sz w:val="24"/>
          <w:szCs w:val="24"/>
          <w:shd w:val="clear" w:color="auto" w:fill="FFFFFF"/>
        </w:rPr>
        <w:t>PLOS ONE 13</w:t>
      </w:r>
      <w:r w:rsidRPr="00E31B40">
        <w:rPr>
          <w:rFonts w:cstheme="minorHAnsi"/>
          <w:sz w:val="24"/>
          <w:szCs w:val="24"/>
          <w:shd w:val="clear" w:color="auto" w:fill="FFFFFF"/>
        </w:rPr>
        <w:t xml:space="preserve">(3): </w:t>
      </w:r>
      <w:proofErr w:type="spellStart"/>
      <w:r w:rsidRPr="00E31B40">
        <w:rPr>
          <w:rFonts w:cstheme="minorHAnsi"/>
          <w:sz w:val="24"/>
          <w:szCs w:val="24"/>
          <w:shd w:val="clear" w:color="auto" w:fill="FFFFFF"/>
        </w:rPr>
        <w:t>e0193399</w:t>
      </w:r>
      <w:proofErr w:type="spellEnd"/>
      <w:r w:rsidRPr="00E31B40">
        <w:rPr>
          <w:rFonts w:cstheme="minorHAnsi"/>
          <w:sz w:val="24"/>
          <w:szCs w:val="24"/>
          <w:shd w:val="clear" w:color="auto" w:fill="FFFFFF"/>
        </w:rPr>
        <w:t>. </w:t>
      </w:r>
      <w:hyperlink r:id="rId11" w:history="1">
        <w:r w:rsidRPr="00E31B40">
          <w:rPr>
            <w:rStyle w:val="Hyperlink"/>
            <w:rFonts w:cstheme="minorHAnsi"/>
            <w:color w:val="auto"/>
            <w:sz w:val="24"/>
            <w:szCs w:val="24"/>
            <w:u w:val="none"/>
            <w:shd w:val="clear" w:color="auto" w:fill="FFFFFF"/>
          </w:rPr>
          <w:t>https://doi.org/10.1371/journal.pone.0193399</w:t>
        </w:r>
      </w:hyperlink>
    </w:p>
    <w:p w14:paraId="7022B93E" w14:textId="701D661C" w:rsidR="001D750E" w:rsidRPr="00E31B40" w:rsidRDefault="001D750E" w:rsidP="000E5F8F">
      <w:pPr>
        <w:spacing w:line="240" w:lineRule="auto"/>
        <w:ind w:left="720" w:hanging="720"/>
        <w:rPr>
          <w:rFonts w:cstheme="minorHAnsi"/>
          <w:sz w:val="24"/>
          <w:szCs w:val="24"/>
          <w:shd w:val="clear" w:color="auto" w:fill="FFFFFF"/>
        </w:rPr>
      </w:pPr>
      <w:r w:rsidRPr="00E31B40">
        <w:rPr>
          <w:rFonts w:cstheme="minorHAnsi"/>
          <w:sz w:val="24"/>
          <w:szCs w:val="24"/>
          <w:shd w:val="clear" w:color="auto" w:fill="FFFFFF"/>
        </w:rPr>
        <w:t>Fang, B. and Yan, E., 2018. Abuse of older persons with dementia: A review of the literature. </w:t>
      </w:r>
      <w:r w:rsidRPr="00E31B40">
        <w:rPr>
          <w:rFonts w:cstheme="minorHAnsi"/>
          <w:i/>
          <w:iCs/>
          <w:sz w:val="24"/>
          <w:szCs w:val="24"/>
          <w:shd w:val="clear" w:color="auto" w:fill="FFFFFF"/>
        </w:rPr>
        <w:t>Trauma, Violence, &amp; Abuse</w:t>
      </w:r>
      <w:r w:rsidRPr="00E31B40">
        <w:rPr>
          <w:rFonts w:cstheme="minorHAnsi"/>
          <w:sz w:val="24"/>
          <w:szCs w:val="24"/>
          <w:shd w:val="clear" w:color="auto" w:fill="FFFFFF"/>
        </w:rPr>
        <w:t>, </w:t>
      </w:r>
      <w:r w:rsidRPr="00E31B40">
        <w:rPr>
          <w:rFonts w:cstheme="minorHAnsi"/>
          <w:i/>
          <w:iCs/>
          <w:sz w:val="24"/>
          <w:szCs w:val="24"/>
          <w:shd w:val="clear" w:color="auto" w:fill="FFFFFF"/>
        </w:rPr>
        <w:t>19</w:t>
      </w:r>
      <w:r w:rsidRPr="00E31B40">
        <w:rPr>
          <w:rFonts w:cstheme="minorHAnsi"/>
          <w:sz w:val="24"/>
          <w:szCs w:val="24"/>
          <w:shd w:val="clear" w:color="auto" w:fill="FFFFFF"/>
        </w:rPr>
        <w:t xml:space="preserve">(2), </w:t>
      </w:r>
      <w:proofErr w:type="spellStart"/>
      <w:r w:rsidRPr="00E31B40">
        <w:rPr>
          <w:rFonts w:cstheme="minorHAnsi"/>
          <w:sz w:val="24"/>
          <w:szCs w:val="24"/>
          <w:shd w:val="clear" w:color="auto" w:fill="FFFFFF"/>
        </w:rPr>
        <w:t>pp.127</w:t>
      </w:r>
      <w:proofErr w:type="spellEnd"/>
      <w:r w:rsidRPr="00E31B40">
        <w:rPr>
          <w:rFonts w:cstheme="minorHAnsi"/>
          <w:sz w:val="24"/>
          <w:szCs w:val="24"/>
          <w:shd w:val="clear" w:color="auto" w:fill="FFFFFF"/>
        </w:rPr>
        <w:t xml:space="preserve">-147. </w:t>
      </w:r>
      <w:hyperlink r:id="rId12" w:history="1">
        <w:r w:rsidRPr="00E31B40">
          <w:rPr>
            <w:rStyle w:val="Hyperlink"/>
            <w:rFonts w:cstheme="minorHAnsi"/>
            <w:color w:val="auto"/>
            <w:sz w:val="24"/>
            <w:szCs w:val="24"/>
            <w:u w:val="none"/>
            <w:shd w:val="clear" w:color="auto" w:fill="FFFFFF"/>
          </w:rPr>
          <w:t>https://doi.org/10.1177/1524838016650185</w:t>
        </w:r>
      </w:hyperlink>
    </w:p>
    <w:p w14:paraId="1507BE3F" w14:textId="714C4A74" w:rsidR="00FD449C" w:rsidRPr="00E31B40" w:rsidRDefault="00FD449C" w:rsidP="000E5F8F">
      <w:pPr>
        <w:spacing w:line="240" w:lineRule="auto"/>
        <w:ind w:left="720" w:hanging="720"/>
        <w:rPr>
          <w:rFonts w:cstheme="minorHAnsi"/>
          <w:sz w:val="24"/>
          <w:szCs w:val="24"/>
        </w:rPr>
      </w:pPr>
      <w:r w:rsidRPr="00E31B40">
        <w:rPr>
          <w:rFonts w:cstheme="minorHAnsi"/>
          <w:sz w:val="24"/>
          <w:szCs w:val="24"/>
          <w:shd w:val="clear" w:color="auto" w:fill="FFFFFF"/>
        </w:rPr>
        <w:t> Lichtenstein, B., 2021. From “Coffin Dodger” to “Boomer Remover”: Outbreaks of ageism in three countries with divergent approaches to coronavirus control. </w:t>
      </w:r>
      <w:r w:rsidRPr="00E31B40">
        <w:rPr>
          <w:rFonts w:cstheme="minorHAnsi"/>
          <w:i/>
          <w:iCs/>
          <w:sz w:val="24"/>
          <w:szCs w:val="24"/>
          <w:shd w:val="clear" w:color="auto" w:fill="FFFFFF"/>
        </w:rPr>
        <w:t>The Journals of Gerontology: Series B</w:t>
      </w:r>
      <w:r w:rsidRPr="00E31B40">
        <w:rPr>
          <w:rFonts w:cstheme="minorHAnsi"/>
          <w:sz w:val="24"/>
          <w:szCs w:val="24"/>
          <w:shd w:val="clear" w:color="auto" w:fill="FFFFFF"/>
        </w:rPr>
        <w:t>, </w:t>
      </w:r>
      <w:r w:rsidRPr="00E31B40">
        <w:rPr>
          <w:rFonts w:cstheme="minorHAnsi"/>
          <w:i/>
          <w:iCs/>
          <w:sz w:val="24"/>
          <w:szCs w:val="24"/>
          <w:shd w:val="clear" w:color="auto" w:fill="FFFFFF"/>
        </w:rPr>
        <w:t>76</w:t>
      </w:r>
      <w:r w:rsidRPr="00E31B40">
        <w:rPr>
          <w:rFonts w:cstheme="minorHAnsi"/>
          <w:sz w:val="24"/>
          <w:szCs w:val="24"/>
          <w:shd w:val="clear" w:color="auto" w:fill="FFFFFF"/>
        </w:rPr>
        <w:t xml:space="preserve">(4), </w:t>
      </w:r>
      <w:proofErr w:type="spellStart"/>
      <w:r w:rsidRPr="00E31B40">
        <w:rPr>
          <w:rFonts w:cstheme="minorHAnsi"/>
          <w:sz w:val="24"/>
          <w:szCs w:val="24"/>
          <w:shd w:val="clear" w:color="auto" w:fill="FFFFFF"/>
        </w:rPr>
        <w:t>pp.e206-e212.</w:t>
      </w:r>
      <w:hyperlink r:id="rId13" w:history="1">
        <w:r w:rsidRPr="00E31B40">
          <w:rPr>
            <w:rStyle w:val="Hyperlink"/>
            <w:rFonts w:cstheme="minorHAnsi"/>
            <w:color w:val="auto"/>
            <w:sz w:val="24"/>
            <w:szCs w:val="24"/>
            <w:u w:val="none"/>
            <w:bdr w:val="none" w:sz="0" w:space="0" w:color="auto" w:frame="1"/>
            <w:shd w:val="clear" w:color="auto" w:fill="FFFFFF"/>
          </w:rPr>
          <w:t>https</w:t>
        </w:r>
        <w:proofErr w:type="spellEnd"/>
        <w:r w:rsidRPr="00E31B40">
          <w:rPr>
            <w:rStyle w:val="Hyperlink"/>
            <w:rFonts w:cstheme="minorHAnsi"/>
            <w:color w:val="auto"/>
            <w:sz w:val="24"/>
            <w:szCs w:val="24"/>
            <w:u w:val="none"/>
            <w:bdr w:val="none" w:sz="0" w:space="0" w:color="auto" w:frame="1"/>
            <w:shd w:val="clear" w:color="auto" w:fill="FFFFFF"/>
          </w:rPr>
          <w:t>://doi.org/10.1093/</w:t>
        </w:r>
        <w:proofErr w:type="spellStart"/>
        <w:r w:rsidRPr="00E31B40">
          <w:rPr>
            <w:rStyle w:val="Hyperlink"/>
            <w:rFonts w:cstheme="minorHAnsi"/>
            <w:color w:val="auto"/>
            <w:sz w:val="24"/>
            <w:szCs w:val="24"/>
            <w:u w:val="none"/>
            <w:bdr w:val="none" w:sz="0" w:space="0" w:color="auto" w:frame="1"/>
            <w:shd w:val="clear" w:color="auto" w:fill="FFFFFF"/>
          </w:rPr>
          <w:t>geronb</w:t>
        </w:r>
        <w:proofErr w:type="spellEnd"/>
        <w:r w:rsidRPr="00E31B40">
          <w:rPr>
            <w:rStyle w:val="Hyperlink"/>
            <w:rFonts w:cstheme="minorHAnsi"/>
            <w:color w:val="auto"/>
            <w:sz w:val="24"/>
            <w:szCs w:val="24"/>
            <w:u w:val="none"/>
            <w:bdr w:val="none" w:sz="0" w:space="0" w:color="auto" w:frame="1"/>
            <w:shd w:val="clear" w:color="auto" w:fill="FFFFFF"/>
          </w:rPr>
          <w:t>/</w:t>
        </w:r>
        <w:proofErr w:type="spellStart"/>
        <w:r w:rsidRPr="00E31B40">
          <w:rPr>
            <w:rStyle w:val="Hyperlink"/>
            <w:rFonts w:cstheme="minorHAnsi"/>
            <w:color w:val="auto"/>
            <w:sz w:val="24"/>
            <w:szCs w:val="24"/>
            <w:u w:val="none"/>
            <w:bdr w:val="none" w:sz="0" w:space="0" w:color="auto" w:frame="1"/>
            <w:shd w:val="clear" w:color="auto" w:fill="FFFFFF"/>
          </w:rPr>
          <w:t>gbaa102</w:t>
        </w:r>
        <w:proofErr w:type="spellEnd"/>
      </w:hyperlink>
    </w:p>
    <w:p w14:paraId="64EDD976" w14:textId="02C9A2B0" w:rsidR="0078443E" w:rsidRPr="00E31B40" w:rsidRDefault="00000000" w:rsidP="000E5F8F">
      <w:pPr>
        <w:spacing w:line="240" w:lineRule="auto"/>
        <w:ind w:left="720" w:hanging="720"/>
        <w:rPr>
          <w:rFonts w:cstheme="minorHAnsi"/>
          <w:sz w:val="24"/>
          <w:szCs w:val="24"/>
        </w:rPr>
      </w:pPr>
      <w:hyperlink r:id="rId14" w:tooltip="Lorna Montgomery" w:history="1">
        <w:r w:rsidR="00B615DD" w:rsidRPr="00E31B40">
          <w:rPr>
            <w:rStyle w:val="Hyperlink"/>
            <w:rFonts w:cstheme="minorHAnsi"/>
            <w:color w:val="auto"/>
            <w:sz w:val="24"/>
            <w:szCs w:val="24"/>
            <w:u w:val="none"/>
            <w:shd w:val="clear" w:color="auto" w:fill="FFFFFF"/>
          </w:rPr>
          <w:t>Montgomery, L.</w:t>
        </w:r>
      </w:hyperlink>
      <w:r w:rsidR="00B615DD" w:rsidRPr="00E31B40">
        <w:rPr>
          <w:rFonts w:cstheme="minorHAnsi"/>
          <w:sz w:val="24"/>
          <w:szCs w:val="24"/>
          <w:shd w:val="clear" w:color="auto" w:fill="FFFFFF"/>
        </w:rPr>
        <w:t>, </w:t>
      </w:r>
      <w:hyperlink r:id="rId15" w:tooltip="Deborah Hanlon" w:history="1">
        <w:r w:rsidR="00B615DD" w:rsidRPr="00E31B40">
          <w:rPr>
            <w:rStyle w:val="Hyperlink"/>
            <w:rFonts w:cstheme="minorHAnsi"/>
            <w:color w:val="auto"/>
            <w:sz w:val="24"/>
            <w:szCs w:val="24"/>
            <w:u w:val="none"/>
            <w:shd w:val="clear" w:color="auto" w:fill="FFFFFF"/>
          </w:rPr>
          <w:t>Hanlon, D.</w:t>
        </w:r>
      </w:hyperlink>
      <w:r w:rsidR="00B615DD" w:rsidRPr="00E31B40">
        <w:rPr>
          <w:rFonts w:cstheme="minorHAnsi"/>
          <w:sz w:val="24"/>
          <w:szCs w:val="24"/>
          <w:shd w:val="clear" w:color="auto" w:fill="FFFFFF"/>
        </w:rPr>
        <w:t> and </w:t>
      </w:r>
      <w:hyperlink r:id="rId16" w:tooltip="Christine Armstrong" w:history="1">
        <w:r w:rsidR="00B615DD" w:rsidRPr="00E31B40">
          <w:rPr>
            <w:rStyle w:val="Hyperlink"/>
            <w:rFonts w:cstheme="minorHAnsi"/>
            <w:color w:val="auto"/>
            <w:sz w:val="24"/>
            <w:szCs w:val="24"/>
            <w:u w:val="none"/>
            <w:shd w:val="clear" w:color="auto" w:fill="FFFFFF"/>
          </w:rPr>
          <w:t>Armstrong, C.</w:t>
        </w:r>
      </w:hyperlink>
      <w:r w:rsidR="00B615DD" w:rsidRPr="00E31B40">
        <w:rPr>
          <w:rFonts w:cstheme="minorHAnsi"/>
          <w:sz w:val="24"/>
          <w:szCs w:val="24"/>
          <w:shd w:val="clear" w:color="auto" w:fill="FFFFFF"/>
        </w:rPr>
        <w:t> (2017), "10,000 Voices: service users’ experiences of adult safeguarding", </w:t>
      </w:r>
      <w:hyperlink r:id="rId17" w:history="1">
        <w:r w:rsidR="00B615DD" w:rsidRPr="00E31B40">
          <w:rPr>
            <w:rStyle w:val="Hyperlink"/>
            <w:rFonts w:cstheme="minorHAnsi"/>
            <w:i/>
            <w:iCs/>
            <w:color w:val="auto"/>
            <w:sz w:val="24"/>
            <w:szCs w:val="24"/>
            <w:u w:val="none"/>
          </w:rPr>
          <w:t>The Journal of Adult Protection</w:t>
        </w:r>
      </w:hyperlink>
      <w:r w:rsidR="00B615DD" w:rsidRPr="00E31B40">
        <w:rPr>
          <w:rFonts w:cstheme="minorHAnsi"/>
          <w:sz w:val="24"/>
          <w:szCs w:val="24"/>
          <w:shd w:val="clear" w:color="auto" w:fill="FFFFFF"/>
        </w:rPr>
        <w:t>, Vol. 19 No. 5, pp. 236-246. </w:t>
      </w:r>
      <w:hyperlink r:id="rId18" w:tooltip="DOI: https://doi.org/10.1108/JAP-03-2017-0012" w:history="1">
        <w:r w:rsidR="00B615DD" w:rsidRPr="00E31B40">
          <w:rPr>
            <w:rStyle w:val="Hyperlink"/>
            <w:rFonts w:cstheme="minorHAnsi"/>
            <w:color w:val="auto"/>
            <w:sz w:val="24"/>
            <w:szCs w:val="24"/>
            <w:u w:val="none"/>
            <w:shd w:val="clear" w:color="auto" w:fill="FFFFFF"/>
          </w:rPr>
          <w:t>https://doi.org/10.1108/JAP-03-2017-0012</w:t>
        </w:r>
      </w:hyperlink>
    </w:p>
    <w:p w14:paraId="7A155052" w14:textId="77777777" w:rsidR="00FF0606" w:rsidRPr="00E31B40" w:rsidRDefault="00383094" w:rsidP="000E5F8F">
      <w:pPr>
        <w:pStyle w:val="dx-doi"/>
        <w:spacing w:before="0" w:beforeAutospacing="0" w:after="0"/>
        <w:ind w:left="720" w:hanging="720"/>
        <w:rPr>
          <w:rFonts w:asciiTheme="minorHAnsi" w:hAnsiTheme="minorHAnsi" w:cstheme="minorHAnsi"/>
        </w:rPr>
      </w:pPr>
      <w:r w:rsidRPr="00E31B40">
        <w:rPr>
          <w:rFonts w:asciiTheme="minorHAnsi" w:hAnsiTheme="minorHAnsi" w:cstheme="minorHAnsi"/>
          <w:shd w:val="clear" w:color="auto" w:fill="FFFFFF"/>
        </w:rPr>
        <w:t>Pentaris, P., Willis, P., Ray, M., Deusdad, B., Lonbay, S., Niemi, M. and Donnelly, S., 2020. Older people in the context of COVID-19: A European perspective. </w:t>
      </w:r>
      <w:r w:rsidRPr="00E31B40">
        <w:rPr>
          <w:rFonts w:asciiTheme="minorHAnsi" w:hAnsiTheme="minorHAnsi" w:cstheme="minorHAnsi"/>
          <w:i/>
          <w:iCs/>
          <w:shd w:val="clear" w:color="auto" w:fill="FFFFFF"/>
        </w:rPr>
        <w:t>Journal of Gerontological Social Work</w:t>
      </w:r>
      <w:r w:rsidRPr="00E31B40">
        <w:rPr>
          <w:rFonts w:asciiTheme="minorHAnsi" w:hAnsiTheme="minorHAnsi" w:cstheme="minorHAnsi"/>
          <w:shd w:val="clear" w:color="auto" w:fill="FFFFFF"/>
        </w:rPr>
        <w:t>, </w:t>
      </w:r>
      <w:r w:rsidRPr="00E31B40">
        <w:rPr>
          <w:rFonts w:asciiTheme="minorHAnsi" w:hAnsiTheme="minorHAnsi" w:cstheme="minorHAnsi"/>
          <w:i/>
          <w:iCs/>
          <w:shd w:val="clear" w:color="auto" w:fill="FFFFFF"/>
        </w:rPr>
        <w:t>63</w:t>
      </w:r>
      <w:r w:rsidRPr="00E31B40">
        <w:rPr>
          <w:rFonts w:asciiTheme="minorHAnsi" w:hAnsiTheme="minorHAnsi" w:cstheme="minorHAnsi"/>
          <w:shd w:val="clear" w:color="auto" w:fill="FFFFFF"/>
        </w:rPr>
        <w:t xml:space="preserve">(8), </w:t>
      </w:r>
      <w:proofErr w:type="spellStart"/>
      <w:r w:rsidRPr="00E31B40">
        <w:rPr>
          <w:rFonts w:asciiTheme="minorHAnsi" w:hAnsiTheme="minorHAnsi" w:cstheme="minorHAnsi"/>
          <w:shd w:val="clear" w:color="auto" w:fill="FFFFFF"/>
        </w:rPr>
        <w:t>pp.736</w:t>
      </w:r>
      <w:proofErr w:type="spellEnd"/>
      <w:r w:rsidRPr="00E31B40">
        <w:rPr>
          <w:rFonts w:asciiTheme="minorHAnsi" w:hAnsiTheme="minorHAnsi" w:cstheme="minorHAnsi"/>
          <w:shd w:val="clear" w:color="auto" w:fill="FFFFFF"/>
        </w:rPr>
        <w:t>-742.</w:t>
      </w:r>
      <w:r w:rsidR="00FF0606" w:rsidRPr="00E31B40">
        <w:rPr>
          <w:rFonts w:asciiTheme="minorHAnsi" w:hAnsiTheme="minorHAnsi" w:cstheme="minorHAnsi"/>
          <w:shd w:val="clear" w:color="auto" w:fill="FFFFFF"/>
        </w:rPr>
        <w:t xml:space="preserve"> </w:t>
      </w:r>
      <w:hyperlink r:id="rId19" w:history="1">
        <w:r w:rsidR="00FF0606" w:rsidRPr="00E31B40">
          <w:rPr>
            <w:rStyle w:val="Hyperlink"/>
            <w:rFonts w:asciiTheme="minorHAnsi" w:hAnsiTheme="minorHAnsi" w:cstheme="minorHAnsi"/>
            <w:color w:val="auto"/>
            <w:u w:val="none"/>
          </w:rPr>
          <w:t>https://doi.org/10.1080/01634372.2020.1821143</w:t>
        </w:r>
      </w:hyperlink>
    </w:p>
    <w:p w14:paraId="6484A28C" w14:textId="097EB918" w:rsidR="0078443E" w:rsidRPr="00E31B40" w:rsidRDefault="0078443E" w:rsidP="000E5F8F">
      <w:pPr>
        <w:spacing w:line="240" w:lineRule="auto"/>
        <w:ind w:left="720" w:hanging="720"/>
        <w:rPr>
          <w:rFonts w:cstheme="minorHAnsi"/>
          <w:sz w:val="24"/>
          <w:szCs w:val="24"/>
        </w:rPr>
      </w:pPr>
      <w:r w:rsidRPr="00E31B40">
        <w:rPr>
          <w:rFonts w:cstheme="minorHAnsi"/>
          <w:sz w:val="24"/>
          <w:szCs w:val="24"/>
        </w:rPr>
        <w:t>Press Association</w:t>
      </w:r>
      <w:r w:rsidR="000258C1" w:rsidRPr="00E31B40">
        <w:rPr>
          <w:rFonts w:cstheme="minorHAnsi"/>
          <w:sz w:val="24"/>
          <w:szCs w:val="24"/>
        </w:rPr>
        <w:t xml:space="preserve"> (</w:t>
      </w:r>
      <w:r w:rsidRPr="00E31B40">
        <w:rPr>
          <w:rFonts w:cstheme="minorHAnsi"/>
          <w:sz w:val="24"/>
          <w:szCs w:val="24"/>
        </w:rPr>
        <w:t>2015)</w:t>
      </w:r>
      <w:r w:rsidR="000258C1" w:rsidRPr="00E31B40">
        <w:rPr>
          <w:rFonts w:cstheme="minorHAnsi"/>
          <w:sz w:val="24"/>
          <w:szCs w:val="24"/>
        </w:rPr>
        <w:t xml:space="preserve">. Mid Staffs scandal: NHS Trust fined £500,000 for ‘basic’ blunders. </w:t>
      </w:r>
      <w:r w:rsidR="00A840BF" w:rsidRPr="00E31B40">
        <w:rPr>
          <w:rFonts w:cstheme="minorHAnsi"/>
          <w:i/>
          <w:iCs/>
          <w:sz w:val="24"/>
          <w:szCs w:val="24"/>
        </w:rPr>
        <w:t>Guardian</w:t>
      </w:r>
      <w:r w:rsidR="00A840BF" w:rsidRPr="00E31B40">
        <w:rPr>
          <w:rFonts w:cstheme="minorHAnsi"/>
          <w:sz w:val="24"/>
          <w:szCs w:val="24"/>
        </w:rPr>
        <w:t>, 16</w:t>
      </w:r>
      <w:r w:rsidR="00A840BF" w:rsidRPr="00E31B40">
        <w:rPr>
          <w:rFonts w:cstheme="minorHAnsi"/>
          <w:sz w:val="24"/>
          <w:szCs w:val="24"/>
          <w:vertAlign w:val="superscript"/>
        </w:rPr>
        <w:t>th</w:t>
      </w:r>
      <w:r w:rsidR="00A840BF" w:rsidRPr="00E31B40">
        <w:rPr>
          <w:rFonts w:cstheme="minorHAnsi"/>
          <w:sz w:val="24"/>
          <w:szCs w:val="24"/>
        </w:rPr>
        <w:t xml:space="preserve"> December. Available at: </w:t>
      </w:r>
      <w:hyperlink r:id="rId20" w:history="1">
        <w:r w:rsidR="00A840BF" w:rsidRPr="00E31B40">
          <w:rPr>
            <w:rStyle w:val="Hyperlink"/>
            <w:rFonts w:cstheme="minorHAnsi"/>
            <w:color w:val="auto"/>
            <w:sz w:val="24"/>
            <w:szCs w:val="24"/>
            <w:u w:val="none"/>
          </w:rPr>
          <w:t>https://www.theguardian.com/society/2015/dec/16/mid-staffs-scandal-nhs-trust-fined-500000-for-basic-blunders</w:t>
        </w:r>
      </w:hyperlink>
      <w:r w:rsidR="00A840BF" w:rsidRPr="00E31B40">
        <w:rPr>
          <w:rFonts w:cstheme="minorHAnsi"/>
          <w:sz w:val="24"/>
          <w:szCs w:val="24"/>
        </w:rPr>
        <w:t xml:space="preserve"> (Accessed 24th April, 2023).</w:t>
      </w:r>
    </w:p>
    <w:p w14:paraId="10F9A398" w14:textId="74E8CDA4" w:rsidR="0078443E" w:rsidRPr="00E31B40" w:rsidRDefault="0078443E" w:rsidP="000E5F8F">
      <w:pPr>
        <w:spacing w:line="240" w:lineRule="auto"/>
        <w:ind w:left="720" w:hanging="720"/>
        <w:rPr>
          <w:rFonts w:cstheme="minorHAnsi"/>
          <w:b/>
          <w:bCs/>
          <w:sz w:val="24"/>
          <w:szCs w:val="24"/>
        </w:rPr>
      </w:pPr>
      <w:proofErr w:type="spellStart"/>
      <w:r w:rsidRPr="00E31B40">
        <w:rPr>
          <w:rFonts w:cstheme="minorHAnsi"/>
          <w:sz w:val="24"/>
          <w:szCs w:val="24"/>
        </w:rPr>
        <w:t>Scheirber</w:t>
      </w:r>
      <w:proofErr w:type="spellEnd"/>
      <w:r w:rsidR="00434AD5" w:rsidRPr="00E31B40">
        <w:rPr>
          <w:rFonts w:cstheme="minorHAnsi"/>
          <w:sz w:val="24"/>
          <w:szCs w:val="24"/>
        </w:rPr>
        <w:t>, M.</w:t>
      </w:r>
      <w:r w:rsidRPr="00E31B40">
        <w:rPr>
          <w:rFonts w:cstheme="minorHAnsi"/>
          <w:sz w:val="24"/>
          <w:szCs w:val="24"/>
        </w:rPr>
        <w:t xml:space="preserve"> </w:t>
      </w:r>
      <w:r w:rsidR="00434AD5" w:rsidRPr="00E31B40">
        <w:rPr>
          <w:rFonts w:cstheme="minorHAnsi"/>
          <w:sz w:val="24"/>
          <w:szCs w:val="24"/>
        </w:rPr>
        <w:t>(</w:t>
      </w:r>
      <w:r w:rsidRPr="00E31B40">
        <w:rPr>
          <w:rFonts w:cstheme="minorHAnsi"/>
          <w:sz w:val="24"/>
          <w:szCs w:val="24"/>
        </w:rPr>
        <w:t>2022</w:t>
      </w:r>
      <w:r w:rsidR="00434AD5" w:rsidRPr="00E31B40">
        <w:rPr>
          <w:rFonts w:cstheme="minorHAnsi"/>
          <w:sz w:val="24"/>
          <w:szCs w:val="24"/>
        </w:rPr>
        <w:t>). ‘They’ve been an afterthought’: Millions of elderly Americans still vulnerable as pandemic caution wanes</w:t>
      </w:r>
      <w:r w:rsidR="00FC301F" w:rsidRPr="00E31B40">
        <w:rPr>
          <w:rFonts w:cstheme="minorHAnsi"/>
          <w:sz w:val="24"/>
          <w:szCs w:val="24"/>
        </w:rPr>
        <w:t xml:space="preserve">. </w:t>
      </w:r>
      <w:r w:rsidR="00FC301F" w:rsidRPr="00E31B40">
        <w:rPr>
          <w:rFonts w:cstheme="minorHAnsi"/>
          <w:i/>
          <w:iCs/>
          <w:sz w:val="24"/>
          <w:szCs w:val="24"/>
        </w:rPr>
        <w:t>Guardian</w:t>
      </w:r>
      <w:r w:rsidR="00FC301F" w:rsidRPr="00E31B40">
        <w:rPr>
          <w:rFonts w:cstheme="minorHAnsi"/>
          <w:sz w:val="24"/>
          <w:szCs w:val="24"/>
        </w:rPr>
        <w:t>, 25</w:t>
      </w:r>
      <w:r w:rsidR="00FC301F" w:rsidRPr="00E31B40">
        <w:rPr>
          <w:rFonts w:cstheme="minorHAnsi"/>
          <w:sz w:val="24"/>
          <w:szCs w:val="24"/>
          <w:vertAlign w:val="superscript"/>
        </w:rPr>
        <w:t>th</w:t>
      </w:r>
      <w:r w:rsidR="00FC301F" w:rsidRPr="00E31B40">
        <w:rPr>
          <w:rFonts w:cstheme="minorHAnsi"/>
          <w:sz w:val="24"/>
          <w:szCs w:val="24"/>
        </w:rPr>
        <w:t xml:space="preserve"> September. Available at: </w:t>
      </w:r>
      <w:hyperlink r:id="rId21" w:history="1">
        <w:r w:rsidR="00FC301F" w:rsidRPr="00E31B40">
          <w:rPr>
            <w:rStyle w:val="Hyperlink"/>
            <w:rFonts w:cstheme="minorHAnsi"/>
            <w:color w:val="auto"/>
            <w:sz w:val="24"/>
            <w:szCs w:val="24"/>
            <w:u w:val="none"/>
          </w:rPr>
          <w:t>https://www.theguardian.com/world/2022/sep/25/covid-19-older-americans-risk</w:t>
        </w:r>
      </w:hyperlink>
      <w:r w:rsidR="00FC301F" w:rsidRPr="00E31B40">
        <w:rPr>
          <w:rFonts w:cstheme="minorHAnsi"/>
          <w:sz w:val="24"/>
          <w:szCs w:val="24"/>
        </w:rPr>
        <w:t xml:space="preserve"> (Accessed 24th April, 2023).</w:t>
      </w:r>
    </w:p>
    <w:p w14:paraId="13D73605" w14:textId="5D3D8398" w:rsidR="00EF7A83" w:rsidRPr="00E31B40" w:rsidRDefault="00EF7A83" w:rsidP="000E5F8F">
      <w:pPr>
        <w:spacing w:line="240" w:lineRule="auto"/>
        <w:ind w:left="720" w:hanging="720"/>
        <w:rPr>
          <w:rFonts w:cstheme="minorHAnsi"/>
          <w:sz w:val="24"/>
          <w:szCs w:val="24"/>
          <w:shd w:val="clear" w:color="auto" w:fill="FFFFFF"/>
        </w:rPr>
      </w:pPr>
      <w:r w:rsidRPr="00E31B40">
        <w:rPr>
          <w:rFonts w:cstheme="minorHAnsi"/>
          <w:sz w:val="24"/>
          <w:szCs w:val="24"/>
          <w:shd w:val="clear" w:color="auto" w:fill="FFFFFF"/>
        </w:rPr>
        <w:t>Sherwood‐Johnson, F., Cross, B. and Daniel, B., 2013. The experience of being protected. </w:t>
      </w:r>
      <w:r w:rsidRPr="00E31B40">
        <w:rPr>
          <w:rFonts w:cstheme="minorHAnsi"/>
          <w:i/>
          <w:iCs/>
          <w:sz w:val="24"/>
          <w:szCs w:val="24"/>
          <w:shd w:val="clear" w:color="auto" w:fill="FFFFFF"/>
        </w:rPr>
        <w:t>The Journal of Adult Protection</w:t>
      </w:r>
      <w:r w:rsidRPr="00E31B40">
        <w:rPr>
          <w:rFonts w:cstheme="minorHAnsi"/>
          <w:sz w:val="24"/>
          <w:szCs w:val="24"/>
          <w:shd w:val="clear" w:color="auto" w:fill="FFFFFF"/>
        </w:rPr>
        <w:t>, </w:t>
      </w:r>
      <w:r w:rsidRPr="00E31B40">
        <w:rPr>
          <w:rFonts w:cstheme="minorHAnsi"/>
          <w:i/>
          <w:iCs/>
          <w:sz w:val="24"/>
          <w:szCs w:val="24"/>
          <w:shd w:val="clear" w:color="auto" w:fill="FFFFFF"/>
        </w:rPr>
        <w:t>15</w:t>
      </w:r>
      <w:r w:rsidRPr="00E31B40">
        <w:rPr>
          <w:rFonts w:cstheme="minorHAnsi"/>
          <w:sz w:val="24"/>
          <w:szCs w:val="24"/>
          <w:shd w:val="clear" w:color="auto" w:fill="FFFFFF"/>
        </w:rPr>
        <w:t xml:space="preserve">(3), </w:t>
      </w:r>
      <w:proofErr w:type="spellStart"/>
      <w:r w:rsidRPr="00E31B40">
        <w:rPr>
          <w:rFonts w:cstheme="minorHAnsi"/>
          <w:sz w:val="24"/>
          <w:szCs w:val="24"/>
          <w:shd w:val="clear" w:color="auto" w:fill="FFFFFF"/>
        </w:rPr>
        <w:t>pp.115</w:t>
      </w:r>
      <w:proofErr w:type="spellEnd"/>
      <w:r w:rsidRPr="00E31B40">
        <w:rPr>
          <w:rFonts w:cstheme="minorHAnsi"/>
          <w:sz w:val="24"/>
          <w:szCs w:val="24"/>
          <w:shd w:val="clear" w:color="auto" w:fill="FFFFFF"/>
        </w:rPr>
        <w:t>-126.</w:t>
      </w:r>
      <w:r w:rsidR="00E86C10" w:rsidRPr="00E31B40">
        <w:rPr>
          <w:rFonts w:cstheme="minorHAnsi"/>
          <w:sz w:val="24"/>
          <w:szCs w:val="24"/>
          <w:shd w:val="clear" w:color="auto" w:fill="FFFFFF"/>
        </w:rPr>
        <w:t xml:space="preserve">  </w:t>
      </w:r>
      <w:hyperlink r:id="rId22" w:tooltip="DOI: https://doi.org/10.1108/JAP-06-2012-0012" w:history="1">
        <w:r w:rsidR="00E86C10" w:rsidRPr="00E31B40">
          <w:rPr>
            <w:rStyle w:val="Hyperlink"/>
            <w:rFonts w:cstheme="minorHAnsi"/>
            <w:color w:val="auto"/>
            <w:sz w:val="24"/>
            <w:szCs w:val="24"/>
            <w:u w:val="none"/>
          </w:rPr>
          <w:t>https://doi.org/10.1108/JAP-06-2012-0012</w:t>
        </w:r>
      </w:hyperlink>
    </w:p>
    <w:p w14:paraId="2D624F84" w14:textId="42401ABC" w:rsidR="0078443E" w:rsidRPr="00E31B40" w:rsidRDefault="008F69F9" w:rsidP="000E5F8F">
      <w:pPr>
        <w:spacing w:line="240" w:lineRule="auto"/>
        <w:ind w:left="720" w:hanging="720"/>
        <w:rPr>
          <w:rFonts w:cstheme="minorHAnsi"/>
          <w:sz w:val="24"/>
          <w:szCs w:val="24"/>
        </w:rPr>
      </w:pPr>
      <w:r w:rsidRPr="00E31B40">
        <w:rPr>
          <w:rFonts w:cstheme="minorHAnsi"/>
          <w:sz w:val="24"/>
          <w:szCs w:val="24"/>
        </w:rPr>
        <w:t>WHO (2022). Tackling abuse of older people: five priorities for the United Nations Decade of Healthy Ageing (2021-2030). Available at:  https://www.who.int/publications/i/item/9789240052550</w:t>
      </w:r>
      <w:r w:rsidR="0078443E" w:rsidRPr="00E31B40">
        <w:rPr>
          <w:rFonts w:cstheme="minorHAnsi"/>
          <w:sz w:val="24"/>
          <w:szCs w:val="24"/>
        </w:rPr>
        <w:t xml:space="preserve"> </w:t>
      </w:r>
    </w:p>
    <w:p w14:paraId="7C939FCC" w14:textId="2FBB33BD" w:rsidR="008F69F9" w:rsidRPr="00E31B40" w:rsidRDefault="00607F5D" w:rsidP="000E5F8F">
      <w:pPr>
        <w:spacing w:line="240" w:lineRule="auto"/>
        <w:ind w:left="720" w:hanging="720"/>
        <w:rPr>
          <w:rFonts w:cstheme="minorHAnsi"/>
          <w:sz w:val="24"/>
          <w:szCs w:val="24"/>
        </w:rPr>
      </w:pPr>
      <w:r w:rsidRPr="00E31B40">
        <w:rPr>
          <w:rFonts w:cstheme="minorHAnsi"/>
          <w:sz w:val="24"/>
          <w:szCs w:val="24"/>
          <w:shd w:val="clear" w:color="auto" w:fill="FFFFFF"/>
        </w:rPr>
        <w:t xml:space="preserve">Yon, Y., Ramiro-Gonzalez, M., </w:t>
      </w:r>
      <w:proofErr w:type="spellStart"/>
      <w:r w:rsidRPr="00E31B40">
        <w:rPr>
          <w:rFonts w:cstheme="minorHAnsi"/>
          <w:sz w:val="24"/>
          <w:szCs w:val="24"/>
          <w:shd w:val="clear" w:color="auto" w:fill="FFFFFF"/>
        </w:rPr>
        <w:t>Mikton</w:t>
      </w:r>
      <w:proofErr w:type="spellEnd"/>
      <w:r w:rsidRPr="00E31B40">
        <w:rPr>
          <w:rFonts w:cstheme="minorHAnsi"/>
          <w:sz w:val="24"/>
          <w:szCs w:val="24"/>
          <w:shd w:val="clear" w:color="auto" w:fill="FFFFFF"/>
        </w:rPr>
        <w:t>, C.R., Huber, M. and Sethi, D., 2019. The prevalence of elder abuse in institutional settings: a systematic review and meta-analysis. </w:t>
      </w:r>
      <w:r w:rsidRPr="00E31B40">
        <w:rPr>
          <w:rFonts w:cstheme="minorHAnsi"/>
          <w:i/>
          <w:iCs/>
          <w:sz w:val="24"/>
          <w:szCs w:val="24"/>
          <w:shd w:val="clear" w:color="auto" w:fill="FFFFFF"/>
        </w:rPr>
        <w:t>European journal of public health</w:t>
      </w:r>
      <w:r w:rsidRPr="00E31B40">
        <w:rPr>
          <w:rFonts w:cstheme="minorHAnsi"/>
          <w:sz w:val="24"/>
          <w:szCs w:val="24"/>
          <w:shd w:val="clear" w:color="auto" w:fill="FFFFFF"/>
        </w:rPr>
        <w:t>, </w:t>
      </w:r>
      <w:r w:rsidRPr="00E31B40">
        <w:rPr>
          <w:rFonts w:cstheme="minorHAnsi"/>
          <w:i/>
          <w:iCs/>
          <w:sz w:val="24"/>
          <w:szCs w:val="24"/>
          <w:shd w:val="clear" w:color="auto" w:fill="FFFFFF"/>
        </w:rPr>
        <w:t>29</w:t>
      </w:r>
      <w:r w:rsidRPr="00E31B40">
        <w:rPr>
          <w:rFonts w:cstheme="minorHAnsi"/>
          <w:sz w:val="24"/>
          <w:szCs w:val="24"/>
          <w:shd w:val="clear" w:color="auto" w:fill="FFFFFF"/>
        </w:rPr>
        <w:t xml:space="preserve">(1), </w:t>
      </w:r>
      <w:proofErr w:type="spellStart"/>
      <w:r w:rsidRPr="00E31B40">
        <w:rPr>
          <w:rFonts w:cstheme="minorHAnsi"/>
          <w:sz w:val="24"/>
          <w:szCs w:val="24"/>
          <w:shd w:val="clear" w:color="auto" w:fill="FFFFFF"/>
        </w:rPr>
        <w:t>pp.58</w:t>
      </w:r>
      <w:proofErr w:type="spellEnd"/>
      <w:r w:rsidRPr="00E31B40">
        <w:rPr>
          <w:rFonts w:cstheme="minorHAnsi"/>
          <w:sz w:val="24"/>
          <w:szCs w:val="24"/>
          <w:shd w:val="clear" w:color="auto" w:fill="FFFFFF"/>
        </w:rPr>
        <w:t xml:space="preserve">-67. </w:t>
      </w:r>
      <w:hyperlink r:id="rId23" w:history="1">
        <w:r w:rsidRPr="00E31B40">
          <w:rPr>
            <w:rStyle w:val="Hyperlink"/>
            <w:rFonts w:cstheme="minorHAnsi"/>
            <w:color w:val="auto"/>
            <w:sz w:val="24"/>
            <w:szCs w:val="24"/>
            <w:u w:val="none"/>
            <w:bdr w:val="none" w:sz="0" w:space="0" w:color="auto" w:frame="1"/>
            <w:shd w:val="clear" w:color="auto" w:fill="FFFFFF"/>
          </w:rPr>
          <w:t>https://doi.org/10.1093/eurpub/cky093</w:t>
        </w:r>
      </w:hyperlink>
    </w:p>
    <w:p w14:paraId="2CEA1B4E" w14:textId="3D01967F" w:rsidR="002C5446" w:rsidRPr="00E31B40" w:rsidRDefault="002C5446" w:rsidP="000E5F8F">
      <w:pPr>
        <w:spacing w:line="240" w:lineRule="auto"/>
        <w:ind w:left="720" w:hanging="720"/>
        <w:rPr>
          <w:rFonts w:cstheme="minorHAnsi"/>
          <w:sz w:val="24"/>
          <w:szCs w:val="24"/>
        </w:rPr>
      </w:pPr>
      <w:proofErr w:type="spellStart"/>
      <w:r w:rsidRPr="00E31B40">
        <w:rPr>
          <w:rFonts w:cstheme="minorHAnsi"/>
          <w:sz w:val="24"/>
          <w:szCs w:val="24"/>
          <w:shd w:val="clear" w:color="auto" w:fill="FFFFFF"/>
        </w:rPr>
        <w:t>Yunus</w:t>
      </w:r>
      <w:proofErr w:type="spellEnd"/>
      <w:r w:rsidRPr="00E31B40">
        <w:rPr>
          <w:rFonts w:cstheme="minorHAnsi"/>
          <w:sz w:val="24"/>
          <w:szCs w:val="24"/>
          <w:shd w:val="clear" w:color="auto" w:fill="FFFFFF"/>
        </w:rPr>
        <w:t xml:space="preserve">, </w:t>
      </w:r>
      <w:proofErr w:type="spellStart"/>
      <w:r w:rsidRPr="00E31B40">
        <w:rPr>
          <w:rFonts w:cstheme="minorHAnsi"/>
          <w:sz w:val="24"/>
          <w:szCs w:val="24"/>
          <w:shd w:val="clear" w:color="auto" w:fill="FFFFFF"/>
        </w:rPr>
        <w:t>R.M</w:t>
      </w:r>
      <w:proofErr w:type="spellEnd"/>
      <w:r w:rsidRPr="00E31B40">
        <w:rPr>
          <w:rFonts w:cstheme="minorHAnsi"/>
          <w:sz w:val="24"/>
          <w:szCs w:val="24"/>
          <w:shd w:val="clear" w:color="auto" w:fill="FFFFFF"/>
        </w:rPr>
        <w:t>., Abdullah, N.N. and Firdaus, M.A.M., 2021. Elder abuse and neglect in the midst of COVID-19. </w:t>
      </w:r>
      <w:r w:rsidRPr="00E31B40">
        <w:rPr>
          <w:rFonts w:cstheme="minorHAnsi"/>
          <w:i/>
          <w:iCs/>
          <w:sz w:val="24"/>
          <w:szCs w:val="24"/>
          <w:shd w:val="clear" w:color="auto" w:fill="FFFFFF"/>
        </w:rPr>
        <w:t>Journal of Global Health</w:t>
      </w:r>
      <w:r w:rsidRPr="00E31B40">
        <w:rPr>
          <w:rFonts w:cstheme="minorHAnsi"/>
          <w:sz w:val="24"/>
          <w:szCs w:val="24"/>
          <w:shd w:val="clear" w:color="auto" w:fill="FFFFFF"/>
        </w:rPr>
        <w:t>, </w:t>
      </w:r>
      <w:r w:rsidRPr="00E31B40">
        <w:rPr>
          <w:rFonts w:cstheme="minorHAnsi"/>
          <w:i/>
          <w:iCs/>
          <w:sz w:val="24"/>
          <w:szCs w:val="24"/>
          <w:shd w:val="clear" w:color="auto" w:fill="FFFFFF"/>
        </w:rPr>
        <w:t>11</w:t>
      </w:r>
      <w:r w:rsidRPr="00E31B40">
        <w:rPr>
          <w:rFonts w:cstheme="minorHAnsi"/>
          <w:sz w:val="24"/>
          <w:szCs w:val="24"/>
          <w:shd w:val="clear" w:color="auto" w:fill="FFFFFF"/>
        </w:rPr>
        <w:t xml:space="preserve">. </w:t>
      </w:r>
      <w:proofErr w:type="spellStart"/>
      <w:r w:rsidRPr="00E31B40">
        <w:rPr>
          <w:rFonts w:cstheme="minorHAnsi"/>
          <w:sz w:val="24"/>
          <w:szCs w:val="24"/>
          <w:shd w:val="clear" w:color="auto" w:fill="FFFFFF"/>
        </w:rPr>
        <w:t>doi</w:t>
      </w:r>
      <w:proofErr w:type="spellEnd"/>
      <w:r w:rsidRPr="00E31B40">
        <w:rPr>
          <w:rFonts w:cstheme="minorHAnsi"/>
          <w:sz w:val="24"/>
          <w:szCs w:val="24"/>
          <w:shd w:val="clear" w:color="auto" w:fill="FFFFFF"/>
        </w:rPr>
        <w:t>: </w:t>
      </w:r>
      <w:hyperlink r:id="rId24" w:tgtFrame="_blank" w:history="1">
        <w:r w:rsidRPr="00E31B40">
          <w:rPr>
            <w:rStyle w:val="Hyperlink"/>
            <w:rFonts w:cstheme="minorHAnsi"/>
            <w:color w:val="auto"/>
            <w:sz w:val="24"/>
            <w:szCs w:val="24"/>
            <w:u w:val="none"/>
            <w:shd w:val="clear" w:color="auto" w:fill="FFFFFF"/>
          </w:rPr>
          <w:t>10.7189/</w:t>
        </w:r>
        <w:proofErr w:type="spellStart"/>
        <w:r w:rsidRPr="00E31B40">
          <w:rPr>
            <w:rStyle w:val="Hyperlink"/>
            <w:rFonts w:cstheme="minorHAnsi"/>
            <w:color w:val="auto"/>
            <w:sz w:val="24"/>
            <w:szCs w:val="24"/>
            <w:u w:val="none"/>
            <w:shd w:val="clear" w:color="auto" w:fill="FFFFFF"/>
          </w:rPr>
          <w:t>jogh.11.03122</w:t>
        </w:r>
        <w:proofErr w:type="spellEnd"/>
      </w:hyperlink>
    </w:p>
    <w:sectPr w:rsidR="002C5446" w:rsidRPr="00E31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EE5"/>
    <w:multiLevelType w:val="multilevel"/>
    <w:tmpl w:val="BFB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A1113"/>
    <w:multiLevelType w:val="multilevel"/>
    <w:tmpl w:val="5554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509BC"/>
    <w:multiLevelType w:val="multilevel"/>
    <w:tmpl w:val="26C4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0516C"/>
    <w:multiLevelType w:val="hybridMultilevel"/>
    <w:tmpl w:val="DC6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833D4"/>
    <w:multiLevelType w:val="hybridMultilevel"/>
    <w:tmpl w:val="6FB26A28"/>
    <w:lvl w:ilvl="0" w:tplc="4FE6A87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40972">
    <w:abstractNumId w:val="3"/>
  </w:num>
  <w:num w:numId="2" w16cid:durableId="580992120">
    <w:abstractNumId w:val="4"/>
  </w:num>
  <w:num w:numId="3" w16cid:durableId="1460107538">
    <w:abstractNumId w:val="2"/>
  </w:num>
  <w:num w:numId="4" w16cid:durableId="1851724487">
    <w:abstractNumId w:val="0"/>
  </w:num>
  <w:num w:numId="5" w16cid:durableId="53616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51"/>
    <w:rsid w:val="000126B1"/>
    <w:rsid w:val="000143E3"/>
    <w:rsid w:val="000258C1"/>
    <w:rsid w:val="00030138"/>
    <w:rsid w:val="000301E4"/>
    <w:rsid w:val="000336B7"/>
    <w:rsid w:val="00034C4F"/>
    <w:rsid w:val="00050B9D"/>
    <w:rsid w:val="00061F90"/>
    <w:rsid w:val="00075F09"/>
    <w:rsid w:val="00077477"/>
    <w:rsid w:val="000845D6"/>
    <w:rsid w:val="00091366"/>
    <w:rsid w:val="000C36F5"/>
    <w:rsid w:val="000C4C54"/>
    <w:rsid w:val="000C73AF"/>
    <w:rsid w:val="000C77FF"/>
    <w:rsid w:val="000D5661"/>
    <w:rsid w:val="000E46F9"/>
    <w:rsid w:val="000E5F8F"/>
    <w:rsid w:val="00102D82"/>
    <w:rsid w:val="00104CAE"/>
    <w:rsid w:val="00106BBA"/>
    <w:rsid w:val="00107DE8"/>
    <w:rsid w:val="00110F01"/>
    <w:rsid w:val="00121AD3"/>
    <w:rsid w:val="00124F9D"/>
    <w:rsid w:val="00127F50"/>
    <w:rsid w:val="00131B40"/>
    <w:rsid w:val="001607F6"/>
    <w:rsid w:val="00164BB8"/>
    <w:rsid w:val="001654D4"/>
    <w:rsid w:val="00171FFC"/>
    <w:rsid w:val="0017529C"/>
    <w:rsid w:val="0018156F"/>
    <w:rsid w:val="0018276F"/>
    <w:rsid w:val="00182B48"/>
    <w:rsid w:val="00195511"/>
    <w:rsid w:val="001B0328"/>
    <w:rsid w:val="001B209D"/>
    <w:rsid w:val="001C283B"/>
    <w:rsid w:val="001C66C3"/>
    <w:rsid w:val="001D1703"/>
    <w:rsid w:val="001D37A2"/>
    <w:rsid w:val="001D750E"/>
    <w:rsid w:val="001F1B41"/>
    <w:rsid w:val="00204ADF"/>
    <w:rsid w:val="0021078B"/>
    <w:rsid w:val="00227809"/>
    <w:rsid w:val="00232E9E"/>
    <w:rsid w:val="00233899"/>
    <w:rsid w:val="00237F6A"/>
    <w:rsid w:val="00241E7F"/>
    <w:rsid w:val="00245C35"/>
    <w:rsid w:val="00262237"/>
    <w:rsid w:val="00262AA5"/>
    <w:rsid w:val="00277425"/>
    <w:rsid w:val="00286AFC"/>
    <w:rsid w:val="002C0706"/>
    <w:rsid w:val="002C2975"/>
    <w:rsid w:val="002C3A2B"/>
    <w:rsid w:val="002C5446"/>
    <w:rsid w:val="002E2451"/>
    <w:rsid w:val="002E29C0"/>
    <w:rsid w:val="002E6DFB"/>
    <w:rsid w:val="002F108E"/>
    <w:rsid w:val="002F11D9"/>
    <w:rsid w:val="00311C75"/>
    <w:rsid w:val="00316C0E"/>
    <w:rsid w:val="003246E5"/>
    <w:rsid w:val="00336B64"/>
    <w:rsid w:val="00366452"/>
    <w:rsid w:val="003760EA"/>
    <w:rsid w:val="00383094"/>
    <w:rsid w:val="00395420"/>
    <w:rsid w:val="003A1B2B"/>
    <w:rsid w:val="003A2BA9"/>
    <w:rsid w:val="003C3EE2"/>
    <w:rsid w:val="003D34E3"/>
    <w:rsid w:val="003D7B9E"/>
    <w:rsid w:val="003F78A7"/>
    <w:rsid w:val="0040018B"/>
    <w:rsid w:val="004153C0"/>
    <w:rsid w:val="00417938"/>
    <w:rsid w:val="00434AD5"/>
    <w:rsid w:val="00450215"/>
    <w:rsid w:val="00455F6A"/>
    <w:rsid w:val="00457A23"/>
    <w:rsid w:val="00464019"/>
    <w:rsid w:val="00475E56"/>
    <w:rsid w:val="00484E47"/>
    <w:rsid w:val="0049223D"/>
    <w:rsid w:val="004A34F9"/>
    <w:rsid w:val="004B4749"/>
    <w:rsid w:val="004B5104"/>
    <w:rsid w:val="004C7703"/>
    <w:rsid w:val="00525F8F"/>
    <w:rsid w:val="00551DCF"/>
    <w:rsid w:val="005540DA"/>
    <w:rsid w:val="005642A9"/>
    <w:rsid w:val="00587E37"/>
    <w:rsid w:val="005917CD"/>
    <w:rsid w:val="005B3FAA"/>
    <w:rsid w:val="005C5457"/>
    <w:rsid w:val="005D300B"/>
    <w:rsid w:val="005D5131"/>
    <w:rsid w:val="005E0082"/>
    <w:rsid w:val="005F32E3"/>
    <w:rsid w:val="005F77C7"/>
    <w:rsid w:val="006023A4"/>
    <w:rsid w:val="00603534"/>
    <w:rsid w:val="00603C81"/>
    <w:rsid w:val="00606B7F"/>
    <w:rsid w:val="00607F5D"/>
    <w:rsid w:val="00615BF5"/>
    <w:rsid w:val="00616E77"/>
    <w:rsid w:val="0062304F"/>
    <w:rsid w:val="0062516A"/>
    <w:rsid w:val="00631181"/>
    <w:rsid w:val="00640617"/>
    <w:rsid w:val="00643B82"/>
    <w:rsid w:val="006732E5"/>
    <w:rsid w:val="006864B1"/>
    <w:rsid w:val="00687970"/>
    <w:rsid w:val="006940C8"/>
    <w:rsid w:val="00696446"/>
    <w:rsid w:val="006A3B9C"/>
    <w:rsid w:val="006A67F0"/>
    <w:rsid w:val="006B0AD3"/>
    <w:rsid w:val="006B564C"/>
    <w:rsid w:val="006B75DF"/>
    <w:rsid w:val="006D57DD"/>
    <w:rsid w:val="006E088C"/>
    <w:rsid w:val="006E243A"/>
    <w:rsid w:val="006E4794"/>
    <w:rsid w:val="006E6E2F"/>
    <w:rsid w:val="006F1953"/>
    <w:rsid w:val="006F3754"/>
    <w:rsid w:val="00707D6C"/>
    <w:rsid w:val="00712B12"/>
    <w:rsid w:val="00724FB4"/>
    <w:rsid w:val="00726150"/>
    <w:rsid w:val="00752011"/>
    <w:rsid w:val="00753D7C"/>
    <w:rsid w:val="00776001"/>
    <w:rsid w:val="0078443E"/>
    <w:rsid w:val="0079111A"/>
    <w:rsid w:val="00791F3E"/>
    <w:rsid w:val="00797DD6"/>
    <w:rsid w:val="007D2C88"/>
    <w:rsid w:val="007E6B6F"/>
    <w:rsid w:val="007F4D0B"/>
    <w:rsid w:val="0083282C"/>
    <w:rsid w:val="0083515B"/>
    <w:rsid w:val="00840589"/>
    <w:rsid w:val="00846152"/>
    <w:rsid w:val="00855513"/>
    <w:rsid w:val="00857E74"/>
    <w:rsid w:val="008612DE"/>
    <w:rsid w:val="008809DF"/>
    <w:rsid w:val="00884277"/>
    <w:rsid w:val="00885CE7"/>
    <w:rsid w:val="00897128"/>
    <w:rsid w:val="008B54FC"/>
    <w:rsid w:val="008D13FD"/>
    <w:rsid w:val="008D4328"/>
    <w:rsid w:val="008E40B0"/>
    <w:rsid w:val="008F69F9"/>
    <w:rsid w:val="009005EC"/>
    <w:rsid w:val="009138B8"/>
    <w:rsid w:val="00926E09"/>
    <w:rsid w:val="0092730B"/>
    <w:rsid w:val="009411C1"/>
    <w:rsid w:val="0094193D"/>
    <w:rsid w:val="009467D6"/>
    <w:rsid w:val="009733D4"/>
    <w:rsid w:val="009C7476"/>
    <w:rsid w:val="009D3CCD"/>
    <w:rsid w:val="009F44FF"/>
    <w:rsid w:val="00A15305"/>
    <w:rsid w:val="00A172E8"/>
    <w:rsid w:val="00A5120F"/>
    <w:rsid w:val="00A63208"/>
    <w:rsid w:val="00A6672D"/>
    <w:rsid w:val="00A7657E"/>
    <w:rsid w:val="00A840BF"/>
    <w:rsid w:val="00A8514E"/>
    <w:rsid w:val="00A96986"/>
    <w:rsid w:val="00AB5318"/>
    <w:rsid w:val="00AD4691"/>
    <w:rsid w:val="00AE3188"/>
    <w:rsid w:val="00AE3717"/>
    <w:rsid w:val="00B15648"/>
    <w:rsid w:val="00B27900"/>
    <w:rsid w:val="00B30626"/>
    <w:rsid w:val="00B3238C"/>
    <w:rsid w:val="00B52F5A"/>
    <w:rsid w:val="00B54F08"/>
    <w:rsid w:val="00B57DCC"/>
    <w:rsid w:val="00B615DD"/>
    <w:rsid w:val="00B70447"/>
    <w:rsid w:val="00B719C7"/>
    <w:rsid w:val="00B741B4"/>
    <w:rsid w:val="00B97E37"/>
    <w:rsid w:val="00BA5849"/>
    <w:rsid w:val="00BA6EB6"/>
    <w:rsid w:val="00BB2937"/>
    <w:rsid w:val="00BB3CDE"/>
    <w:rsid w:val="00BB5926"/>
    <w:rsid w:val="00BC1FC0"/>
    <w:rsid w:val="00BD0C61"/>
    <w:rsid w:val="00BE2C75"/>
    <w:rsid w:val="00BE79C5"/>
    <w:rsid w:val="00BF0BFD"/>
    <w:rsid w:val="00BF3C78"/>
    <w:rsid w:val="00BF494A"/>
    <w:rsid w:val="00C01972"/>
    <w:rsid w:val="00C14F2D"/>
    <w:rsid w:val="00C30612"/>
    <w:rsid w:val="00C51523"/>
    <w:rsid w:val="00C61304"/>
    <w:rsid w:val="00C71AA8"/>
    <w:rsid w:val="00C87FB2"/>
    <w:rsid w:val="00CA04AA"/>
    <w:rsid w:val="00CB13AE"/>
    <w:rsid w:val="00CB4B5C"/>
    <w:rsid w:val="00CD07C0"/>
    <w:rsid w:val="00CE56A8"/>
    <w:rsid w:val="00D03BE8"/>
    <w:rsid w:val="00D0565B"/>
    <w:rsid w:val="00D257CC"/>
    <w:rsid w:val="00D30C7D"/>
    <w:rsid w:val="00D32585"/>
    <w:rsid w:val="00D435DB"/>
    <w:rsid w:val="00D56A38"/>
    <w:rsid w:val="00D66B3D"/>
    <w:rsid w:val="00D70DFB"/>
    <w:rsid w:val="00D72481"/>
    <w:rsid w:val="00D87025"/>
    <w:rsid w:val="00D91820"/>
    <w:rsid w:val="00DA2159"/>
    <w:rsid w:val="00DA4D47"/>
    <w:rsid w:val="00DE1F34"/>
    <w:rsid w:val="00DE60FC"/>
    <w:rsid w:val="00DF3E1F"/>
    <w:rsid w:val="00E04597"/>
    <w:rsid w:val="00E04CAF"/>
    <w:rsid w:val="00E13527"/>
    <w:rsid w:val="00E31255"/>
    <w:rsid w:val="00E31B40"/>
    <w:rsid w:val="00E56597"/>
    <w:rsid w:val="00E733BD"/>
    <w:rsid w:val="00E86C10"/>
    <w:rsid w:val="00E87D72"/>
    <w:rsid w:val="00E928C9"/>
    <w:rsid w:val="00EA1EB5"/>
    <w:rsid w:val="00EA78F2"/>
    <w:rsid w:val="00EB2DDE"/>
    <w:rsid w:val="00EC2CBA"/>
    <w:rsid w:val="00EE3EF4"/>
    <w:rsid w:val="00EF0E06"/>
    <w:rsid w:val="00EF66F0"/>
    <w:rsid w:val="00EF7A83"/>
    <w:rsid w:val="00F12F5A"/>
    <w:rsid w:val="00F14F5F"/>
    <w:rsid w:val="00F227FE"/>
    <w:rsid w:val="00F26C51"/>
    <w:rsid w:val="00F30635"/>
    <w:rsid w:val="00F37555"/>
    <w:rsid w:val="00F523E9"/>
    <w:rsid w:val="00F52F26"/>
    <w:rsid w:val="00F67F0B"/>
    <w:rsid w:val="00F7174D"/>
    <w:rsid w:val="00F77CD9"/>
    <w:rsid w:val="00F821BB"/>
    <w:rsid w:val="00F904B2"/>
    <w:rsid w:val="00F95CF9"/>
    <w:rsid w:val="00FA2ADC"/>
    <w:rsid w:val="00FC1A3F"/>
    <w:rsid w:val="00FC301F"/>
    <w:rsid w:val="00FC4611"/>
    <w:rsid w:val="00FD3F81"/>
    <w:rsid w:val="00FD449C"/>
    <w:rsid w:val="00FE6805"/>
    <w:rsid w:val="00FF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CD00"/>
  <w15:chartTrackingRefBased/>
  <w15:docId w15:val="{5B0745E6-EFF1-4BE3-AB13-81BB9097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9"/>
    <w:pPr>
      <w:ind w:left="720"/>
      <w:contextualSpacing/>
    </w:pPr>
  </w:style>
  <w:style w:type="character" w:styleId="CommentReference">
    <w:name w:val="annotation reference"/>
    <w:basedOn w:val="DefaultParagraphFont"/>
    <w:uiPriority w:val="99"/>
    <w:semiHidden/>
    <w:unhideWhenUsed/>
    <w:rsid w:val="00926E09"/>
    <w:rPr>
      <w:sz w:val="16"/>
      <w:szCs w:val="16"/>
    </w:rPr>
  </w:style>
  <w:style w:type="paragraph" w:styleId="CommentText">
    <w:name w:val="annotation text"/>
    <w:basedOn w:val="Normal"/>
    <w:link w:val="CommentTextChar"/>
    <w:uiPriority w:val="99"/>
    <w:unhideWhenUsed/>
    <w:rsid w:val="00926E09"/>
    <w:pPr>
      <w:spacing w:line="240" w:lineRule="auto"/>
    </w:pPr>
    <w:rPr>
      <w:sz w:val="20"/>
      <w:szCs w:val="20"/>
    </w:rPr>
  </w:style>
  <w:style w:type="character" w:customStyle="1" w:styleId="CommentTextChar">
    <w:name w:val="Comment Text Char"/>
    <w:basedOn w:val="DefaultParagraphFont"/>
    <w:link w:val="CommentText"/>
    <w:uiPriority w:val="99"/>
    <w:rsid w:val="00926E09"/>
    <w:rPr>
      <w:sz w:val="20"/>
      <w:szCs w:val="20"/>
    </w:rPr>
  </w:style>
  <w:style w:type="table" w:styleId="TableGrid">
    <w:name w:val="Table Grid"/>
    <w:basedOn w:val="TableNormal"/>
    <w:uiPriority w:val="39"/>
    <w:rsid w:val="0060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2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d-title">
    <w:name w:val="kwd-title"/>
    <w:basedOn w:val="Normal"/>
    <w:rsid w:val="00832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282C"/>
    <w:rPr>
      <w:color w:val="0000FF"/>
      <w:u w:val="single"/>
    </w:rPr>
  </w:style>
  <w:style w:type="paragraph" w:styleId="CommentSubject">
    <w:name w:val="annotation subject"/>
    <w:basedOn w:val="CommentText"/>
    <w:next w:val="CommentText"/>
    <w:link w:val="CommentSubjectChar"/>
    <w:uiPriority w:val="99"/>
    <w:semiHidden/>
    <w:unhideWhenUsed/>
    <w:rsid w:val="003A2BA9"/>
    <w:rPr>
      <w:b/>
      <w:bCs/>
    </w:rPr>
  </w:style>
  <w:style w:type="character" w:customStyle="1" w:styleId="CommentSubjectChar">
    <w:name w:val="Comment Subject Char"/>
    <w:basedOn w:val="CommentTextChar"/>
    <w:link w:val="CommentSubject"/>
    <w:uiPriority w:val="99"/>
    <w:semiHidden/>
    <w:rsid w:val="003A2BA9"/>
    <w:rPr>
      <w:b/>
      <w:bCs/>
      <w:sz w:val="20"/>
      <w:szCs w:val="20"/>
    </w:rPr>
  </w:style>
  <w:style w:type="paragraph" w:styleId="Revision">
    <w:name w:val="Revision"/>
    <w:hidden/>
    <w:uiPriority w:val="99"/>
    <w:semiHidden/>
    <w:rsid w:val="003A2BA9"/>
    <w:pPr>
      <w:spacing w:after="0" w:line="240" w:lineRule="auto"/>
    </w:pPr>
  </w:style>
  <w:style w:type="character" w:customStyle="1" w:styleId="UnresolvedMention1">
    <w:name w:val="Unresolved Mention1"/>
    <w:basedOn w:val="DefaultParagraphFont"/>
    <w:uiPriority w:val="99"/>
    <w:semiHidden/>
    <w:unhideWhenUsed/>
    <w:rsid w:val="00F904B2"/>
    <w:rPr>
      <w:color w:val="605E5C"/>
      <w:shd w:val="clear" w:color="auto" w:fill="E1DFDD"/>
    </w:rPr>
  </w:style>
  <w:style w:type="paragraph" w:styleId="BalloonText">
    <w:name w:val="Balloon Text"/>
    <w:basedOn w:val="Normal"/>
    <w:link w:val="BalloonTextChar"/>
    <w:uiPriority w:val="99"/>
    <w:semiHidden/>
    <w:unhideWhenUsed/>
    <w:rsid w:val="0010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82"/>
    <w:rPr>
      <w:rFonts w:ascii="Segoe UI" w:hAnsi="Segoe UI" w:cs="Segoe UI"/>
      <w:sz w:val="18"/>
      <w:szCs w:val="18"/>
    </w:rPr>
  </w:style>
  <w:style w:type="character" w:styleId="UnresolvedMention">
    <w:name w:val="Unresolved Mention"/>
    <w:basedOn w:val="DefaultParagraphFont"/>
    <w:uiPriority w:val="99"/>
    <w:semiHidden/>
    <w:unhideWhenUsed/>
    <w:rsid w:val="00F14F5F"/>
    <w:rPr>
      <w:color w:val="605E5C"/>
      <w:shd w:val="clear" w:color="auto" w:fill="E1DFDD"/>
    </w:rPr>
  </w:style>
  <w:style w:type="paragraph" w:customStyle="1" w:styleId="dx-doi">
    <w:name w:val="dx-doi"/>
    <w:basedOn w:val="Normal"/>
    <w:rsid w:val="00BB2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ta">
    <w:name w:val="email-ta"/>
    <w:basedOn w:val="DefaultParagraphFont"/>
    <w:rsid w:val="00A15305"/>
  </w:style>
  <w:style w:type="character" w:customStyle="1" w:styleId="email-tod">
    <w:name w:val="email-tod"/>
    <w:basedOn w:val="DefaultParagraphFont"/>
    <w:rsid w:val="00A1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2749">
      <w:bodyDiv w:val="1"/>
      <w:marLeft w:val="0"/>
      <w:marRight w:val="0"/>
      <w:marTop w:val="0"/>
      <w:marBottom w:val="0"/>
      <w:divBdr>
        <w:top w:val="none" w:sz="0" w:space="0" w:color="auto"/>
        <w:left w:val="none" w:sz="0" w:space="0" w:color="auto"/>
        <w:bottom w:val="none" w:sz="0" w:space="0" w:color="auto"/>
        <w:right w:val="none" w:sz="0" w:space="0" w:color="auto"/>
      </w:divBdr>
    </w:div>
    <w:div w:id="402147470">
      <w:bodyDiv w:val="1"/>
      <w:marLeft w:val="0"/>
      <w:marRight w:val="0"/>
      <w:marTop w:val="0"/>
      <w:marBottom w:val="0"/>
      <w:divBdr>
        <w:top w:val="none" w:sz="0" w:space="0" w:color="auto"/>
        <w:left w:val="none" w:sz="0" w:space="0" w:color="auto"/>
        <w:bottom w:val="none" w:sz="0" w:space="0" w:color="auto"/>
        <w:right w:val="none" w:sz="0" w:space="0" w:color="auto"/>
      </w:divBdr>
      <w:divsChild>
        <w:div w:id="1970503411">
          <w:marLeft w:val="0"/>
          <w:marRight w:val="0"/>
          <w:marTop w:val="0"/>
          <w:marBottom w:val="0"/>
          <w:divBdr>
            <w:top w:val="none" w:sz="0" w:space="0" w:color="auto"/>
            <w:left w:val="none" w:sz="0" w:space="0" w:color="auto"/>
            <w:bottom w:val="none" w:sz="0" w:space="0" w:color="auto"/>
            <w:right w:val="none" w:sz="0" w:space="0" w:color="auto"/>
          </w:divBdr>
        </w:div>
        <w:div w:id="623511066">
          <w:marLeft w:val="0"/>
          <w:marRight w:val="0"/>
          <w:marTop w:val="0"/>
          <w:marBottom w:val="0"/>
          <w:divBdr>
            <w:top w:val="none" w:sz="0" w:space="0" w:color="auto"/>
            <w:left w:val="none" w:sz="0" w:space="0" w:color="auto"/>
            <w:bottom w:val="none" w:sz="0" w:space="0" w:color="auto"/>
            <w:right w:val="none" w:sz="0" w:space="0" w:color="auto"/>
          </w:divBdr>
          <w:divsChild>
            <w:div w:id="17939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en/persons/lorna-montgomery" TargetMode="External"/><Relationship Id="rId13" Type="http://schemas.openxmlformats.org/officeDocument/2006/relationships/hyperlink" Target="https://doi.org/10.1093/geronb/gbaa102" TargetMode="External"/><Relationship Id="rId18" Type="http://schemas.openxmlformats.org/officeDocument/2006/relationships/hyperlink" Target="https://doi.org/10.1108/JAP-03-2017-0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uardian.com/world/2022/sep/25/covid-19-older-americans-risk" TargetMode="External"/><Relationship Id="rId7" Type="http://schemas.openxmlformats.org/officeDocument/2006/relationships/hyperlink" Target="mailto:k.j.mackay@stir.ac.uk/" TargetMode="External"/><Relationship Id="rId12" Type="http://schemas.openxmlformats.org/officeDocument/2006/relationships/hyperlink" Target="https://doi.org/10.1177/1524838016650185" TargetMode="External"/><Relationship Id="rId17" Type="http://schemas.openxmlformats.org/officeDocument/2006/relationships/hyperlink" Target="https://www.emerald.com/insight/publication/issn/1466-82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erald.com/insight/search?q=Christine%20Armstrong" TargetMode="External"/><Relationship Id="rId20" Type="http://schemas.openxmlformats.org/officeDocument/2006/relationships/hyperlink" Target="https://www.theguardian.com/society/2015/dec/16/mid-staffs-scandal-nhs-trust-fined-500000-for-basic-blunders" TargetMode="External"/><Relationship Id="rId1" Type="http://schemas.openxmlformats.org/officeDocument/2006/relationships/customXml" Target="../customXml/item1.xml"/><Relationship Id="rId6" Type="http://schemas.openxmlformats.org/officeDocument/2006/relationships/hyperlink" Target="mailto:Sarah.Lonbay@sunderland.ac.uk/" TargetMode="External"/><Relationship Id="rId11" Type="http://schemas.openxmlformats.org/officeDocument/2006/relationships/hyperlink" Target="https://doi.org/10.1371/journal.pone.0193399" TargetMode="External"/><Relationship Id="rId24" Type="http://schemas.openxmlformats.org/officeDocument/2006/relationships/hyperlink" Target="https://doi.org/10.7189%2Fjogh.11.03122" TargetMode="External"/><Relationship Id="rId5" Type="http://schemas.openxmlformats.org/officeDocument/2006/relationships/webSettings" Target="webSettings.xml"/><Relationship Id="rId15" Type="http://schemas.openxmlformats.org/officeDocument/2006/relationships/hyperlink" Target="https://www.emerald.com/insight/search?q=Deborah%20Hanlon" TargetMode="External"/><Relationship Id="rId23" Type="http://schemas.openxmlformats.org/officeDocument/2006/relationships/hyperlink" Target="https://doi.org/10.1093/eurpub/cky093" TargetMode="External"/><Relationship Id="rId10" Type="http://schemas.openxmlformats.org/officeDocument/2006/relationships/hyperlink" Target="https://theprovince.com/opinion/dawn-bowdish-ageism-and-the-pandemic-how-canada-continues-to-let-older-adults-suffer" TargetMode="External"/><Relationship Id="rId19" Type="http://schemas.openxmlformats.org/officeDocument/2006/relationships/hyperlink" Target="https://doi.org/10.1080/01634372.2020.1821143" TargetMode="External"/><Relationship Id="rId4" Type="http://schemas.openxmlformats.org/officeDocument/2006/relationships/settings" Target="settings.xml"/><Relationship Id="rId9" Type="http://schemas.openxmlformats.org/officeDocument/2006/relationships/hyperlink" Target="https://doi.org/10.1080/13691457.2021.1954886" TargetMode="External"/><Relationship Id="rId14" Type="http://schemas.openxmlformats.org/officeDocument/2006/relationships/hyperlink" Target="https://www.emerald.com/insight/search?q=Lorna%20Montgomery" TargetMode="External"/><Relationship Id="rId22" Type="http://schemas.openxmlformats.org/officeDocument/2006/relationships/hyperlink" Target="https://doi.org/10.1108/JAP-06-2012-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520B-6D8D-4FEC-BE53-F041DE69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2412</Words>
  <Characters>14140</Characters>
  <Application>Microsoft Office Word</Application>
  <DocSecurity>0</DocSecurity>
  <Lines>217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Lonbay (Staff)</dc:creator>
  <cp:keywords/>
  <dc:description/>
  <cp:lastModifiedBy>Sarah Lonbay (Staff)</cp:lastModifiedBy>
  <cp:revision>5</cp:revision>
  <dcterms:created xsi:type="dcterms:W3CDTF">2023-05-03T08:23:00Z</dcterms:created>
  <dcterms:modified xsi:type="dcterms:W3CDTF">2023-05-03T13:58:00Z</dcterms:modified>
</cp:coreProperties>
</file>